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151" w:beforeAutospacing="0" w:after="432" w:afterAutospacing="0"/>
        <w:jc w:val="center"/>
        <w:rPr>
          <w:rFonts w:hint="eastAsia" w:ascii="Arial" w:hAnsi="Arial" w:cs="Arial"/>
          <w:color w:val="191919"/>
          <w:sz w:val="44"/>
          <w:szCs w:val="44"/>
          <w:lang w:val="en-US" w:eastAsia="zh-CN"/>
        </w:rPr>
      </w:pPr>
      <w:r>
        <w:rPr>
          <w:rFonts w:hint="eastAsia" w:ascii="Arial" w:hAnsi="Arial" w:cs="Arial"/>
          <w:color w:val="191919"/>
          <w:sz w:val="44"/>
          <w:szCs w:val="44"/>
          <w:lang w:val="en-US" w:eastAsia="zh-CN"/>
        </w:rPr>
        <w:t>常德柳叶湖旅游度假区</w:t>
      </w:r>
    </w:p>
    <w:p>
      <w:pPr>
        <w:pStyle w:val="6"/>
        <w:shd w:val="clear" w:color="auto" w:fill="FFFFFF"/>
        <w:spacing w:before="151" w:beforeAutospacing="0" w:after="432" w:afterAutospacing="0"/>
        <w:jc w:val="center"/>
        <w:rPr>
          <w:rFonts w:hint="default" w:ascii="Arial" w:hAnsi="Arial" w:eastAsia="宋体" w:cs="Arial"/>
          <w:color w:val="191919"/>
          <w:sz w:val="27"/>
          <w:szCs w:val="27"/>
          <w:lang w:val="en-US" w:eastAsia="zh-CN"/>
        </w:rPr>
      </w:pPr>
      <w:bookmarkStart w:id="0" w:name="_GoBack"/>
      <w:bookmarkEnd w:id="0"/>
      <w:r>
        <w:rPr>
          <w:rFonts w:ascii="Arial" w:hAnsi="Arial" w:cs="Arial"/>
          <w:color w:val="191919"/>
          <w:sz w:val="44"/>
          <w:szCs w:val="44"/>
        </w:rPr>
        <w:t>生产建设项目水土保持</w:t>
      </w:r>
      <w:r>
        <w:rPr>
          <w:rFonts w:hint="eastAsia" w:ascii="Arial" w:hAnsi="Arial" w:cs="Arial"/>
          <w:color w:val="191919"/>
          <w:sz w:val="44"/>
          <w:szCs w:val="44"/>
          <w:lang w:val="en-US" w:eastAsia="zh-CN"/>
        </w:rPr>
        <w:t>验收服务指南</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hint="eastAsia" w:ascii="Arial" w:hAnsi="Arial" w:cs="Arial"/>
          <w:color w:val="191919"/>
          <w:sz w:val="27"/>
          <w:szCs w:val="27"/>
          <w:lang w:val="en-US" w:eastAsia="zh-CN"/>
        </w:rPr>
        <w:t>一、</w:t>
      </w:r>
      <w:r>
        <w:rPr>
          <w:rFonts w:ascii="Arial" w:hAnsi="Arial" w:cs="Arial"/>
          <w:color w:val="191919"/>
          <w:sz w:val="27"/>
          <w:szCs w:val="27"/>
        </w:rPr>
        <w:t xml:space="preserve"> 生产建设项目投产使用前，生产建设单位应当按照水利部规定的标准和要求，开展水土保持设施自主验收，验收结果向社会公开并报审批水土保持方案的水行政主管部门备案。水行政主管部门应当出具备案回执。</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ascii="Arial" w:hAnsi="Arial" w:cs="Arial"/>
          <w:color w:val="191919"/>
          <w:sz w:val="27"/>
          <w:szCs w:val="27"/>
        </w:rPr>
        <w:t>其中，编制水土保持方案报告书的，生产建设单位组织第三方机构编制水土保持设施验收报告。承担生产建设项目水土保持方案技术评审、水土保持监测、水土保持监理工作的单位不得作为该生产建设项目水土保持设施验收报告编制的第三方机构。</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hint="eastAsia" w:ascii="Arial" w:hAnsi="Arial" w:cs="Arial"/>
          <w:color w:val="191919"/>
          <w:sz w:val="27"/>
          <w:szCs w:val="27"/>
          <w:lang w:val="en-US" w:eastAsia="zh-CN"/>
        </w:rPr>
        <w:t>二、</w:t>
      </w:r>
      <w:r>
        <w:rPr>
          <w:rFonts w:ascii="Arial" w:hAnsi="Arial" w:cs="Arial"/>
          <w:color w:val="191919"/>
          <w:sz w:val="27"/>
          <w:szCs w:val="27"/>
        </w:rPr>
        <w:t>水土保持设施未经验收或者验收不合格的，生产建设项目不得投产使用。</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ascii="Arial" w:hAnsi="Arial" w:cs="Arial"/>
          <w:color w:val="191919"/>
          <w:sz w:val="27"/>
          <w:szCs w:val="27"/>
        </w:rPr>
        <w:t>存在下列情形之一的，水土保持设施验收结论应当为不合格：</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ascii="Arial" w:hAnsi="Arial" w:cs="Arial"/>
          <w:color w:val="191919"/>
          <w:sz w:val="27"/>
          <w:szCs w:val="27"/>
        </w:rPr>
        <w:t>（一）未依法依规履行水土保持方案编报审批程序或者开展水土保持监测、监理的；</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ascii="Arial" w:hAnsi="Arial" w:cs="Arial"/>
          <w:color w:val="191919"/>
          <w:sz w:val="27"/>
          <w:szCs w:val="27"/>
        </w:rPr>
        <w:t>（二）弃土弃渣未堆放在经批准的水土保持方案确定的专门存放地的；</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ascii="Arial" w:hAnsi="Arial" w:cs="Arial"/>
          <w:color w:val="191919"/>
          <w:sz w:val="27"/>
          <w:szCs w:val="27"/>
        </w:rPr>
        <w:t>（三）水土保持措施体系、等级和标准或者水土流失防治指标未按照水土保持方案批复要求落实的；</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ascii="Arial" w:hAnsi="Arial" w:cs="Arial"/>
          <w:color w:val="191919"/>
          <w:sz w:val="27"/>
          <w:szCs w:val="27"/>
        </w:rPr>
        <w:t>（四）存在水土流失风险隐患的；</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ascii="Arial" w:hAnsi="Arial" w:cs="Arial"/>
          <w:color w:val="191919"/>
          <w:sz w:val="27"/>
          <w:szCs w:val="27"/>
        </w:rPr>
        <w:t>（五）水土保持设施验收材料明显不实、内容存在重大缺项、遗漏的；</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ascii="Arial" w:hAnsi="Arial" w:cs="Arial"/>
          <w:color w:val="191919"/>
          <w:sz w:val="27"/>
          <w:szCs w:val="27"/>
        </w:rPr>
        <w:t>（六）存在法律法规和技术标准规定不得通过水土保持设施验收的其他情形的。</w:t>
      </w:r>
    </w:p>
    <w:p>
      <w:pPr>
        <w:pStyle w:val="2"/>
        <w:shd w:val="clear" w:color="auto" w:fill="FFFFFF"/>
        <w:spacing w:before="151" w:beforeAutospacing="0" w:after="432" w:afterAutospacing="0"/>
        <w:ind w:firstLine="540" w:firstLineChars="200"/>
        <w:rPr>
          <w:rFonts w:ascii="Arial" w:hAnsi="Arial" w:cs="Arial"/>
          <w:color w:val="191919"/>
          <w:sz w:val="27"/>
          <w:szCs w:val="27"/>
        </w:rPr>
      </w:pPr>
      <w:r>
        <w:rPr>
          <w:rFonts w:hint="eastAsia" w:ascii="Arial" w:hAnsi="Arial" w:cs="Arial"/>
          <w:color w:val="191919"/>
          <w:sz w:val="27"/>
          <w:szCs w:val="27"/>
          <w:lang w:val="en-US" w:eastAsia="zh-CN"/>
        </w:rPr>
        <w:t>三、</w:t>
      </w:r>
      <w:r>
        <w:rPr>
          <w:rFonts w:ascii="Arial" w:hAnsi="Arial" w:cs="Arial"/>
          <w:color w:val="191919"/>
          <w:sz w:val="27"/>
          <w:szCs w:val="27"/>
        </w:rPr>
        <w:t xml:space="preserve"> 生产建设项目水土保持设施验收合格后，生产建设单位或者运行管理单位应当依法防治生产运行过程中发生的水土流失，加强对水土保持设施的管理维护，确保水土保持设施长期发挥效益。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yMWM1NzljYTVkYjZhNTY5NjVmNmQ4OTc2MzIyMmUifQ=="/>
  </w:docVars>
  <w:rsids>
    <w:rsidRoot w:val="00C2611A"/>
    <w:rsid w:val="003D5221"/>
    <w:rsid w:val="00C2611A"/>
    <w:rsid w:val="5716486C"/>
    <w:rsid w:val="687C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ql-align-center"/>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559</Words>
  <Characters>559</Characters>
  <Lines>33</Lines>
  <Paragraphs>9</Paragraphs>
  <TotalTime>2</TotalTime>
  <ScaleCrop>false</ScaleCrop>
  <LinksUpToDate>false</LinksUpToDate>
  <CharactersWithSpaces>561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2023-06-14T07:31:00Z</dcterms:created>
  <dc:creator>PC</dc:creator>
  <cp:lastModifiedBy>Administrator</cp:lastModifiedBy>
  <dcterms:modified xsi:type="dcterms:W3CDTF">2023-06-14T07:35:57Z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418118ABC32B4E77A65D6F84A06A6AE4</vt:lpwstr>
  </property>
</Properties>
</file>