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常柳乡指办发〔2021〕6号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柳叶湖旅游度假区实施乡村振兴战略指挥部办公室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市级第二批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财政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衔接推进乡村振兴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资金项目计划的通知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白鹤镇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经区实施乡村振兴战略指挥部办公室研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2021年市级第二批财政衔接推进乡村振兴资金项目计划下达给你们，请严格按照有关规定，加强专项资金管理，认真组织实施。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市级第二批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财政衔接推进乡村振兴资金项目计划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安排表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柳叶湖旅游度假区实施乡村振兴战略指挥部办公室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2021年7月8日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市级第二批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财政衔接推进乡村振兴资金项目计划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安排表</w:t>
      </w:r>
    </w:p>
    <w:tbl>
      <w:tblPr>
        <w:tblStyle w:val="4"/>
        <w:tblpPr w:leftFromText="180" w:rightFromText="180" w:vertAnchor="text" w:horzAnchor="page" w:tblpX="1359" w:tblpY="805"/>
        <w:tblOverlap w:val="never"/>
        <w:tblW w:w="10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89"/>
        <w:gridCol w:w="2512"/>
        <w:gridCol w:w="2000"/>
        <w:gridCol w:w="1683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项目内容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资金及来源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实施单位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6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bidi="ar"/>
              </w:rPr>
              <w:t>白鹤镇同兴村生活污水处理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工程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widowControl/>
              <w:ind w:firstLine="42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bidi="ar"/>
              </w:rPr>
              <w:t>同兴村吴家口2组、3组、4组、5组、13组，马巷子13组、12组100户生活污水处理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市级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专项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衔接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资金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白鹤镇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新宋体" w:hAnsi="新宋体" w:eastAsia="新宋体" w:cs="新宋体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新宋体" w:hAnsi="新宋体" w:eastAsia="新宋体" w:cs="新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新宋体" w:hAnsi="新宋体" w:eastAsia="新宋体" w:cs="新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50A24E9"/>
    <w:rsid w:val="06140624"/>
    <w:rsid w:val="0AAE60F6"/>
    <w:rsid w:val="0AE67EAF"/>
    <w:rsid w:val="0C87173A"/>
    <w:rsid w:val="0D2C1C36"/>
    <w:rsid w:val="0EC361C8"/>
    <w:rsid w:val="1636753F"/>
    <w:rsid w:val="17C257E2"/>
    <w:rsid w:val="18226118"/>
    <w:rsid w:val="1E98342A"/>
    <w:rsid w:val="21D70033"/>
    <w:rsid w:val="22051B05"/>
    <w:rsid w:val="22253649"/>
    <w:rsid w:val="27C8601C"/>
    <w:rsid w:val="284B44B5"/>
    <w:rsid w:val="33295C78"/>
    <w:rsid w:val="3AFB3831"/>
    <w:rsid w:val="3B5F3B99"/>
    <w:rsid w:val="43006759"/>
    <w:rsid w:val="44717336"/>
    <w:rsid w:val="47E13BE8"/>
    <w:rsid w:val="4CC279F5"/>
    <w:rsid w:val="52F4359C"/>
    <w:rsid w:val="52FA52B2"/>
    <w:rsid w:val="56D02C1A"/>
    <w:rsid w:val="5D6B5FD2"/>
    <w:rsid w:val="606309B0"/>
    <w:rsid w:val="62811583"/>
    <w:rsid w:val="654944FA"/>
    <w:rsid w:val="66CE6A18"/>
    <w:rsid w:val="677D3AD7"/>
    <w:rsid w:val="691048C1"/>
    <w:rsid w:val="6921501B"/>
    <w:rsid w:val="6E10585B"/>
    <w:rsid w:val="70476DD2"/>
    <w:rsid w:val="75194334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Administrator</cp:lastModifiedBy>
  <cp:lastPrinted>2021-09-30T02:24:52Z</cp:lastPrinted>
  <dcterms:modified xsi:type="dcterms:W3CDTF">2021-09-30T02:24:59Z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8BEB347E3DE34178B52B62F85EAFC5F5</vt:lpwstr>
  </property>
</Properties>
</file>