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38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hint="eastAsia" w:ascii="方正小标宋简体" w:hAnsi="Times New Roman" w:eastAsia="方正小标宋简体"/>
          <w:b/>
          <w:kern w:val="0"/>
          <w:sz w:val="32"/>
          <w:szCs w:val="32"/>
          <w:lang w:eastAsia="zh-CN"/>
        </w:rPr>
      </w:pPr>
      <w:bookmarkStart w:id="0" w:name="_GoBack"/>
      <w:bookmarkEnd w:id="0"/>
    </w:p>
    <w:p w14:paraId="71B23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hint="eastAsia" w:ascii="方正小标宋简体" w:hAnsi="Times New Roman" w:eastAsia="方正小标宋简体"/>
          <w:b/>
          <w:kern w:val="0"/>
          <w:sz w:val="32"/>
          <w:szCs w:val="32"/>
          <w:lang w:eastAsia="zh-CN"/>
        </w:rPr>
      </w:pPr>
    </w:p>
    <w:p w14:paraId="23094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Times New Roman" w:eastAsia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b/>
          <w:kern w:val="0"/>
          <w:sz w:val="44"/>
          <w:szCs w:val="44"/>
          <w:lang w:eastAsia="zh-CN"/>
        </w:rPr>
        <w:t>七里桥街道社区卫生服务中心</w:t>
      </w:r>
    </w:p>
    <w:p w14:paraId="138B5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ascii="方正小标宋简体" w:hAnsi="Times New Roman" w:eastAsia="方正小标宋简体"/>
          <w:b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kern w:val="0"/>
          <w:sz w:val="44"/>
          <w:szCs w:val="44"/>
          <w:lang w:val="en-US" w:eastAsia="zh-CN"/>
        </w:rPr>
        <w:t>2024年部门</w:t>
      </w:r>
      <w:r>
        <w:rPr>
          <w:rFonts w:hint="eastAsia" w:ascii="方正小标宋简体" w:hAnsi="Times New Roman" w:eastAsia="方正小标宋简体"/>
          <w:b/>
          <w:kern w:val="0"/>
          <w:sz w:val="44"/>
          <w:szCs w:val="44"/>
        </w:rPr>
        <w:t>整体</w:t>
      </w:r>
      <w:r>
        <w:rPr>
          <w:rFonts w:hint="eastAsia" w:ascii="方正小标宋简体" w:hAnsi="Times New Roman" w:eastAsia="方正小标宋简体"/>
          <w:b/>
          <w:kern w:val="0"/>
          <w:sz w:val="44"/>
          <w:szCs w:val="44"/>
          <w:lang w:eastAsia="zh-CN"/>
        </w:rPr>
        <w:t>支出</w:t>
      </w:r>
      <w:r>
        <w:rPr>
          <w:rFonts w:hint="eastAsia" w:ascii="方正小标宋简体" w:hAnsi="Times New Roman" w:eastAsia="方正小标宋简体"/>
          <w:b/>
          <w:kern w:val="0"/>
          <w:sz w:val="44"/>
          <w:szCs w:val="44"/>
        </w:rPr>
        <w:t>绩效评价</w:t>
      </w:r>
      <w:r>
        <w:rPr>
          <w:rFonts w:hint="eastAsia" w:ascii="方正小标宋简体" w:hAnsi="Times New Roman" w:eastAsia="方正小标宋简体"/>
          <w:b/>
          <w:kern w:val="0"/>
          <w:sz w:val="44"/>
          <w:szCs w:val="44"/>
          <w:lang w:eastAsia="zh-CN"/>
        </w:rPr>
        <w:t>自评</w:t>
      </w:r>
      <w:r>
        <w:rPr>
          <w:rFonts w:hint="eastAsia" w:ascii="方正小标宋简体" w:hAnsi="Times New Roman" w:eastAsia="方正小标宋简体"/>
          <w:b/>
          <w:kern w:val="0"/>
          <w:sz w:val="44"/>
          <w:szCs w:val="44"/>
        </w:rPr>
        <w:t>报告</w:t>
      </w:r>
    </w:p>
    <w:p w14:paraId="0AF76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</w:p>
    <w:p w14:paraId="4F999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ascii="Times New Roman" w:hAnsi="Times New Roman" w:eastAsia="黑体"/>
          <w:b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一、部门概况</w:t>
      </w:r>
    </w:p>
    <w:p w14:paraId="255EF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（一）部门组织机构及人员情况</w:t>
      </w:r>
    </w:p>
    <w:p w14:paraId="3E66AE7D">
      <w:pPr>
        <w:pStyle w:val="9"/>
        <w:spacing w:before="0" w:after="0" w:line="56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default" w:ascii="Times New Roman" w:hAnsi="Times New Roman" w:eastAsia="仿宋_GB2312" w:cs="Times New Roman"/>
          <w:b/>
          <w:bCs/>
          <w:lang w:eastAsia="zh-CN"/>
        </w:rPr>
        <w:t>1.机构情况</w:t>
      </w:r>
      <w:r>
        <w:rPr>
          <w:rFonts w:hint="default" w:ascii="Times New Roman" w:hAnsi="Times New Roman" w:eastAsia="仿宋_GB2312" w:cs="Times New Roman"/>
          <w:b/>
          <w:bCs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常德柳叶湖旅游度假区七里桥街道</w:t>
      </w:r>
      <w:r>
        <w:rPr>
          <w:rFonts w:hint="eastAsia" w:ascii="仿宋_GB2312" w:hAnsi="仿宋_GB2312" w:eastAsia="仿宋_GB2312" w:cs="仿宋_GB2312"/>
          <w:b w:val="0"/>
          <w:bCs w:val="0"/>
        </w:rPr>
        <w:t>卫生服务中心（以下简称“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七里桥</w:t>
      </w:r>
      <w:r>
        <w:rPr>
          <w:rFonts w:hint="eastAsia" w:ascii="仿宋_GB2312" w:hAnsi="仿宋_GB2312" w:eastAsia="仿宋_GB2312" w:cs="仿宋_GB2312"/>
          <w:b w:val="0"/>
          <w:bCs w:val="0"/>
        </w:rPr>
        <w:t>卫生服务中心”）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属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额拨款公益一类事业单位，主管单位为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eastAsia="zh-CN"/>
        </w:rPr>
        <w:t>常德柳叶湖旅游度假区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卫生健康局（以下简称“区卫健局”）</w:t>
      </w:r>
      <w:r>
        <w:rPr>
          <w:rFonts w:hint="eastAsia" w:ascii="仿宋_GB2312" w:hAnsi="仿宋_GB2312" w:eastAsia="仿宋_GB2312" w:cs="仿宋_GB2312"/>
          <w:b w:val="0"/>
          <w:bCs w:val="0"/>
        </w:rPr>
        <w:t>。现开设预防保健科、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全科医疗</w:t>
      </w:r>
      <w:r>
        <w:rPr>
          <w:rFonts w:hint="eastAsia" w:ascii="仿宋_GB2312" w:hAnsi="仿宋_GB2312" w:eastAsia="仿宋_GB2312" w:cs="仿宋_GB2312"/>
          <w:b w:val="0"/>
          <w:bCs w:val="0"/>
        </w:rPr>
        <w:t>科、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内科、</w:t>
      </w:r>
      <w:r>
        <w:rPr>
          <w:rFonts w:hint="eastAsia" w:ascii="仿宋_GB2312" w:hAnsi="仿宋_GB2312" w:eastAsia="仿宋_GB2312" w:cs="仿宋_GB2312"/>
          <w:b w:val="0"/>
          <w:bCs w:val="0"/>
        </w:rPr>
        <w:t>外科、妇产科、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儿科、口腔科、皮肤科、急诊医学科、医学检验科、医学影像科、X线诊断专业、中医科</w:t>
      </w:r>
      <w:r>
        <w:rPr>
          <w:rFonts w:hint="eastAsia" w:ascii="仿宋_GB2312" w:hAnsi="仿宋_GB2312" w:eastAsia="仿宋_GB2312" w:cs="仿宋_GB2312"/>
          <w:b w:val="0"/>
          <w:bCs w:val="0"/>
        </w:rPr>
        <w:t>共1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</w:rPr>
        <w:t>个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诊疗科目</w:t>
      </w:r>
      <w:r>
        <w:rPr>
          <w:rFonts w:hint="eastAsia" w:ascii="仿宋_GB2312" w:hAnsi="仿宋_GB2312" w:eastAsia="仿宋_GB2312" w:cs="仿宋_GB2312"/>
          <w:b w:val="0"/>
          <w:bCs w:val="0"/>
        </w:rPr>
        <w:t>。配有婴幼儿经皮黄疸仪、高频妇科治疗仪、全自动深化分析仪、全自动血液细胞分析仪、全自动凝血分析仪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、X射线摄影系统、单通单深经颅多普勒诊断系统</w:t>
      </w:r>
      <w:r>
        <w:rPr>
          <w:rFonts w:hint="eastAsia" w:ascii="仿宋_GB2312" w:hAnsi="仿宋_GB2312" w:eastAsia="仿宋_GB2312" w:cs="仿宋_GB2312"/>
          <w:b w:val="0"/>
          <w:bCs w:val="0"/>
        </w:rPr>
        <w:t>等医用设备。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核定病床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张，实际开放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张，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牙椅1张，实际开放1张，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</w:rPr>
        <w:t>病房配备有空调、电视、卫生间、24小时冷热水、中心供氧、呼叫系统等。</w:t>
      </w:r>
    </w:p>
    <w:p w14:paraId="34A89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2.人员情况。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额拨款事业编制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在编人员27人（含借调3人）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，其中本单位在编在岗人员24人；劳务派遣9人（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七里桥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卫生服务中心与常德市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永和</w:t>
      </w:r>
      <w:r>
        <w:rPr>
          <w:rFonts w:hint="eastAsia" w:ascii="仿宋_GB2312" w:hAnsi="仿宋_GB2312" w:eastAsia="仿宋_GB2312" w:cs="仿宋_GB2312"/>
          <w:sz w:val="32"/>
          <w:szCs w:val="32"/>
        </w:rPr>
        <w:t>劳务派遣有限公司签订劳务派遣合同，由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七里桥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卫生服务中心负担）。</w:t>
      </w:r>
    </w:p>
    <w:p w14:paraId="41BD7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年12月31日止，单位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实有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医生类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副主任医师2名、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主治医师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名、执业医师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名、执业（助理）医师1名；护士类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名，其中主管护师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名、执业护师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名、护士2名；技师类2名，其中中级检验师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名；药师类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副主任药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，初级药师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2名；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名；收费员1名；其他类人员2名。</w:t>
      </w:r>
    </w:p>
    <w:p w14:paraId="077F7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（二）部门主要职责</w:t>
      </w:r>
    </w:p>
    <w:p w14:paraId="5BFBB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仿宋_GB2312" w:hAnsi="宋体" w:eastAsia="仿宋_GB2312" w:cs="宋体"/>
          <w:color w:val="3D3D3D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D3D3D"/>
          <w:kern w:val="0"/>
          <w:sz w:val="32"/>
          <w:szCs w:val="32"/>
          <w:lang w:val="en-US" w:eastAsia="zh-CN"/>
        </w:rPr>
        <w:t>承担七里桥、柳叶湖两个街道的基本医疗和基本公共卫生服务,主要开展以老年人、妇女、儿童和慢性病人为重点的集预防、医疗、保健、康复、健康教育、计划生育和一般常见病、多发病诊疗服务为一体的综合性社区卫生服务。</w:t>
      </w:r>
    </w:p>
    <w:p w14:paraId="54AFD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部门财务情况</w:t>
      </w:r>
    </w:p>
    <w:p w14:paraId="34732BDE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1.资产负债及净资产情况</w:t>
      </w:r>
    </w:p>
    <w:p w14:paraId="56541E1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08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年12月31日止，单位资产总额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1581.07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万元、负债总额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40.80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万元、净资产总额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1540.27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单位固定资产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净值1381.49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：房屋建筑物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:1151.16万元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189.87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万元、办公家具用具等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40.46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无形资产净值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0.22万元。</w:t>
      </w:r>
    </w:p>
    <w:p w14:paraId="4B6C876F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2.部门整体收支情况</w:t>
      </w:r>
    </w:p>
    <w:p w14:paraId="76CC3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部门年初预算收入812.69万元，其中：财政补助收入327.53万元，非税收入160万元，上级转移325.16万元。决算收入926.50万元，其中：区级财政补助收入314.16万元，非税收入281.37万元，上级转移328.74万元，其他2.23万元。</w:t>
      </w:r>
    </w:p>
    <w:p w14:paraId="1B703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2024年度预算总支出968.65万元，其中：基本支出558.07万元，项目支出410.57万元。</w:t>
      </w:r>
    </w:p>
    <w:p w14:paraId="3701E8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（四）部门绩效目标</w:t>
      </w:r>
    </w:p>
    <w:p w14:paraId="24D0C4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1.部门绩效总目标</w:t>
      </w:r>
    </w:p>
    <w:p w14:paraId="432D315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为人民健康服务的宗旨，实施基本医疗服务和基本公卫生服务工作。深化医药卫生体制改革，全面推行国家基本药物制度，解决群众看病难、看病贵等问题，实现“小病诊得好，慢病管得住，大病看得出，重症及时转诊”的目标；全面实施国家规定的14大类基本公卫服务项目，各项指标达国家规定要求。不断提升医疗服务质量，为辖区居民提供优质、便捷的基本医疗、公卫服务，惠及辖区常住人口，提高区域内居民健康水平，提升公卫服务能力与水平，争创区级优秀卫生服务单位。</w:t>
      </w:r>
    </w:p>
    <w:p w14:paraId="3CEC70D6"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2.部门年度主要绩效目标</w:t>
      </w:r>
    </w:p>
    <w:p w14:paraId="60E61E8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数量目标</w:t>
      </w:r>
    </w:p>
    <w:p w14:paraId="531DFB1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服务项目：基本公卫服务项目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项。</w:t>
      </w:r>
    </w:p>
    <w:p w14:paraId="425F140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②服务人数：基本公卫服务人数≥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万人。</w:t>
      </w:r>
    </w:p>
    <w:p w14:paraId="163EFF9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③入户率：高血压、糖尿病≥95%，重症精神病≥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0%，高危孕产妇等特殊病种入户随访率≥9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 w14:paraId="474F874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④门诊人数：全年门诊人次≥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13000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 w14:paraId="3D04D6C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⑤住院人数：全年住院人次≥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 w14:paraId="1FFE7FF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⑥建档数：建立城乡居民健康档案≥36315人。</w:t>
      </w:r>
    </w:p>
    <w:p w14:paraId="66501AF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⑦预防接种数：适龄儿童国家免疫规划疫苗接种人次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≥4000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人次。</w:t>
      </w:r>
    </w:p>
    <w:p w14:paraId="5E0804D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⑧儿童健康管理数：儿童健康管理人次≥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人次。</w:t>
      </w:r>
    </w:p>
    <w:p w14:paraId="4DAE242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⑨孕产妇健康管理数：≥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人次。</w:t>
      </w:r>
    </w:p>
    <w:p w14:paraId="46A432B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⑩老年人健康管理数：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岁以上及老年人健康管理人次≥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2895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人次。</w:t>
      </w:r>
    </w:p>
    <w:p w14:paraId="00B4034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⑪慢性病患者健康管理数：高：≥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糖：≥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人次。</w:t>
      </w:r>
    </w:p>
    <w:p w14:paraId="6EA346B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⑫精神障碍患者管理数：严重精神障碍患者管理人次≥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</w:p>
    <w:p w14:paraId="6AB1DAE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⑬结核病患者健康管理数：结核病患者健康管理人次≥20人次。</w:t>
      </w:r>
    </w:p>
    <w:p w14:paraId="780CB73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⑭中医药健康管理数：0-3岁儿童及65岁以上老年人管理人次≥1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人次。</w:t>
      </w:r>
    </w:p>
    <w:p w14:paraId="10147ED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⑮卫生监督协管数：开展食源性疾病、饮用水卫生安全、学校卫生实地巡查次数≥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00次。</w:t>
      </w:r>
    </w:p>
    <w:p w14:paraId="069CC8A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⑯健康素养知识宣传数：印发健康知识宣传资料≥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32000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份；更新健康教育宣传内容≥12期；开展公众健康咨询服务活动≥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次；举办健康知识讲座≥12期。</w:t>
      </w:r>
    </w:p>
    <w:p w14:paraId="5FD8CAE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⑰健康扶贫管理数：贫困户患者管理人次≥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人次。</w:t>
      </w:r>
    </w:p>
    <w:p w14:paraId="2864977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⑱家庭医生签约数：家庭医生签约服务管理人次≥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人次。</w:t>
      </w:r>
    </w:p>
    <w:p w14:paraId="668359F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质量指标</w:t>
      </w:r>
    </w:p>
    <w:p w14:paraId="7C6288F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医疗事故：门诊、住院医疗事故行为零发生。</w:t>
      </w:r>
    </w:p>
    <w:p w14:paraId="746398E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建档率：建立居民健康档案率≥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0%。</w:t>
      </w:r>
    </w:p>
    <w:p w14:paraId="0AC65D1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预防接种率：适龄儿童国家免疫规划疫苗接种率90%。</w:t>
      </w:r>
    </w:p>
    <w:p w14:paraId="576AC0A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④儿童健康管理率≥90%。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</w:p>
    <w:p w14:paraId="1409F9A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⑤孕产妇健康管理率：早孕建册管理≥90%；产后访视管理100%。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</w:p>
    <w:p w14:paraId="158441A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⑥老年人健康管理率：6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岁以上及老年人健康管理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%。</w:t>
      </w:r>
    </w:p>
    <w:p w14:paraId="617D534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⑦慢性病患者健康管理率：高血压健康管理≥6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%；2型糖尿病健康管理≥6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%。</w:t>
      </w:r>
    </w:p>
    <w:p w14:paraId="40EC775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⑧精神障碍患者管理率：严重精神障碍患者管理≥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%。</w:t>
      </w:r>
    </w:p>
    <w:p w14:paraId="0924928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⑨结核病患者健康管理率≥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%。</w:t>
      </w:r>
    </w:p>
    <w:p w14:paraId="4241A26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⑩中医药健康管理率：0-3岁儿童健康管理≥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0%；65岁以上老年人健康管理≥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 w14:paraId="7398C81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⑪公卫事件报告处理率：传染病和突发公共卫生报告处理及时率100%。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</w:p>
    <w:p w14:paraId="7745C24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⑫监管报告率：卫生监督协管报告率100%。</w:t>
      </w:r>
    </w:p>
    <w:p w14:paraId="37DBEE9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⑬质量达标率：其他医疗服务质量达标率100%。</w:t>
      </w:r>
    </w:p>
    <w:p w14:paraId="4C200EE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机构运转情况：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机构运转正常率100%。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</w:p>
    <w:p w14:paraId="0ACA9CD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党建任务完成情况：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上级党建任务完成率100%。</w:t>
      </w:r>
    </w:p>
    <w:p w14:paraId="63B5633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（3）时效指标</w:t>
      </w:r>
    </w:p>
    <w:p w14:paraId="360B404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完成及时率100%。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</w:p>
    <w:p w14:paraId="31BF90D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（4）成本指标</w:t>
      </w:r>
    </w:p>
    <w:p w14:paraId="3648111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成本规范合理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率100%。</w:t>
      </w:r>
    </w:p>
    <w:p w14:paraId="523A56F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效益指标</w:t>
      </w:r>
    </w:p>
    <w:p w14:paraId="2B3881C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①社会效益指标：完善对区域基本医疗服务的影响；保障对区域居民健康状况的影响。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</w:p>
    <w:p w14:paraId="03D3F7F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②可持续影响指标：保障对区域公共安全的影响，完善对区域医疗服务机制的影响。</w:t>
      </w:r>
    </w:p>
    <w:p w14:paraId="1759D17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（6）满意度指标</w:t>
      </w:r>
    </w:p>
    <w:p w14:paraId="29BACA8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满意度≥90%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 w14:paraId="34AE466A">
      <w:pPr>
        <w:spacing w:line="640" w:lineRule="exact"/>
        <w:ind w:firstLine="640" w:firstLineChars="200"/>
        <w:jc w:val="both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二、一般公共预算支出情况</w:t>
      </w:r>
    </w:p>
    <w:p w14:paraId="0005FEB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2024年可执行收入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926.50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万元，支出968.65万元，年初结余99.20万元，年末结转和结余57.05万元</w:t>
      </w:r>
    </w:p>
    <w:p w14:paraId="673FA43F">
      <w:pPr>
        <w:spacing w:line="64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</w:rPr>
        <w:t>（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一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</w:rPr>
        <w:t>）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  <w:t>基本支出情况</w:t>
      </w:r>
    </w:p>
    <w:p w14:paraId="13C96773">
      <w:pPr>
        <w:numPr>
          <w:ilvl w:val="0"/>
          <w:numId w:val="0"/>
        </w:numPr>
        <w:spacing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2024年可执行基本支出553.39万元、支出558.07万元，年初结余27.15万元，年末结转和结余22.47万元。</w:t>
      </w:r>
    </w:p>
    <w:p w14:paraId="5AD7E17B">
      <w:pPr>
        <w:pStyle w:val="8"/>
        <w:numPr>
          <w:ilvl w:val="0"/>
          <w:numId w:val="0"/>
        </w:numPr>
        <w:ind w:firstLine="640" w:firstLineChars="200"/>
        <w:rPr>
          <w:rFonts w:hint="eastAsia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（二）项目支出情况</w:t>
      </w:r>
    </w:p>
    <w:p w14:paraId="4CF1F8D8"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2024年可执行项目支出373.11万元，支出410.57万元，年初结余72.04万元，年末结转和结余34.58万元。</w:t>
      </w:r>
    </w:p>
    <w:p w14:paraId="7B7749E9">
      <w:pPr>
        <w:numPr>
          <w:ilvl w:val="0"/>
          <w:numId w:val="1"/>
        </w:numPr>
        <w:spacing w:line="640" w:lineRule="exact"/>
        <w:ind w:firstLine="640" w:firstLineChars="200"/>
        <w:jc w:val="both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政府性基金预算支出情况</w:t>
      </w:r>
    </w:p>
    <w:p w14:paraId="52F66E7F">
      <w:pPr>
        <w:pStyle w:val="8"/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无</w:t>
      </w:r>
    </w:p>
    <w:p w14:paraId="6A12671A">
      <w:pPr>
        <w:numPr>
          <w:ilvl w:val="0"/>
          <w:numId w:val="1"/>
        </w:numPr>
        <w:spacing w:line="640" w:lineRule="exact"/>
        <w:ind w:left="0" w:leftChars="0" w:firstLine="640" w:firstLineChars="200"/>
        <w:jc w:val="both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国有资本经营预算支出情况</w:t>
      </w:r>
    </w:p>
    <w:p w14:paraId="1546EDF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无</w:t>
      </w:r>
    </w:p>
    <w:p w14:paraId="3EDBC52E">
      <w:pPr>
        <w:spacing w:line="640" w:lineRule="exact"/>
        <w:ind w:firstLine="640" w:firstLineChars="200"/>
        <w:jc w:val="both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五、</w:t>
      </w:r>
      <w:r>
        <w:rPr>
          <w:rFonts w:ascii="黑体" w:hAnsi="黑体" w:eastAsia="黑体" w:cs="黑体"/>
          <w:b/>
          <w:bCs/>
          <w:sz w:val="32"/>
          <w:szCs w:val="32"/>
        </w:rPr>
        <w:t>社会保险基金预算支出情况</w:t>
      </w:r>
    </w:p>
    <w:p w14:paraId="1B37AEF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无</w:t>
      </w:r>
    </w:p>
    <w:p w14:paraId="0610D0F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六、部门整体支出绩效情况</w:t>
      </w:r>
    </w:p>
    <w:p w14:paraId="409D5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(一）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部门绩效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eastAsia="zh-CN"/>
        </w:rPr>
        <w:t>总目标完成情况</w:t>
      </w:r>
    </w:p>
    <w:p w14:paraId="00651E6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在市、区上级领导下，根据绩效考核要求，认真履行职责，抓好基层卫生基础设施、基层卫生人才队伍，执行基本药物制度，有序推进基本公共卫生服务和家庭医生签约服务，不断提高城乡居民健康水平,增强了广大群众的满意度和基层卫生队伍的获得感。年度基本公共卫生服务评分90分以上，医疗服务有待加强，与年初目标存在一定的差距。</w:t>
      </w:r>
    </w:p>
    <w:p w14:paraId="4E6C9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（二）部门年度绩效目标完成情况</w:t>
      </w:r>
    </w:p>
    <w:p w14:paraId="2D47EF9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1.产出指标（数量指标）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诊、住院人次完成既定任务；基本公共卫生服务年底综合评分达90分以上，医疗废物、废水处置数量达标；产出指标（质量指标）：年度绩效目标项目均已达到年初目标比率；时效指标：2024年度及时完成各项指标任务，完成率100%，成本指标：严格执行年初预算，未超预算支出。</w:t>
      </w:r>
    </w:p>
    <w:p w14:paraId="0FEE77C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2.效益指标：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为辖区居民开展基本医疗服务，提供优质服务。</w:t>
      </w:r>
    </w:p>
    <w:p w14:paraId="7A3D1087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3.满意度指标：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服务对象、社会公众满意度达90%以上。</w:t>
      </w:r>
    </w:p>
    <w:p w14:paraId="02FE3DB9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（三）本年度部门整体绩效情况</w:t>
      </w:r>
    </w:p>
    <w:p w14:paraId="3C6765A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基本医疗服务效益显著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年共接诊病人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万人次，完成医疗收入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367.02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万元，其中纯医疗收入为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112.54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800DBE9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2.基药制度落实到位。坚持药品零差价销售制度，一定程度上降低了居民的看病支出。</w:t>
      </w:r>
    </w:p>
    <w:p w14:paraId="7BCFD401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3.公卫服务扩面提质。202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年健康档案建档人数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37189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，建档人数逐渐增加。截至202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年12月底，家庭医生签约共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，家庭医生（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村医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主动正确引导居民就诊,居民对村医的信任度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得到较大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提升,分级诊疗初见成效。</w:t>
      </w:r>
    </w:p>
    <w:p w14:paraId="01EBBFDD"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预防接种服务规范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。2024年预防接种7567人次，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抽查接种率较高，扫码接种、信息上传等信息使用规范，未发现疑似预防接种异常反应，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按要求进行登记、报告、随访，重点疫苗补种率达95%以上。</w:t>
      </w:r>
    </w:p>
    <w:p w14:paraId="1AFABD3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5.提供满意医疗服务。每月组织职工及村卫生室人员进行相关业务知识培训。提高职工服务意识，提高患者及社会大众对我中心满意度，2024年度未出现医疗差错和医疗事故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 w14:paraId="247A443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6.其他各项工作。根据市、区有关安排，积极完成各项交办的任务。</w:t>
      </w:r>
    </w:p>
    <w:p w14:paraId="5E88BDDE">
      <w:pPr>
        <w:spacing w:line="640" w:lineRule="exact"/>
        <w:ind w:firstLine="640" w:firstLineChars="200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七、存在的问题及建议</w:t>
      </w:r>
    </w:p>
    <w:p w14:paraId="4664CE31">
      <w:pPr>
        <w:pStyle w:val="9"/>
        <w:spacing w:before="0" w:after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预算编制及执行管理工作待进一步加强。随着对预、决算编制工作水平要求越来越高，数据编制要求越来越精准、规范；时间紧、任务大，会计人员业务明显增加，人员紧缺，实际操作压力大、整体绩效目标评价未能更加细化具体。</w:t>
      </w:r>
    </w:p>
    <w:p w14:paraId="4FC0DCC9">
      <w:pPr>
        <w:pStyle w:val="9"/>
        <w:spacing w:before="0" w:after="0" w:line="560" w:lineRule="exact"/>
        <w:ind w:firstLine="640" w:firstLineChars="200"/>
        <w:jc w:val="left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八、下一步改进措施</w:t>
      </w:r>
    </w:p>
    <w:p w14:paraId="52D5C6BF">
      <w:pPr>
        <w:pStyle w:val="9"/>
        <w:spacing w:before="0" w:after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1.进一步加强单位内部机构各科室的预算执行管理意识，严格按照预算执行管理的相关制度和要求进行支出控制，尽量压缩变动性的、有控制空间的费用项目，进一步提高预算执行管理的严谨性和可控性。</w:t>
      </w:r>
    </w:p>
    <w:p w14:paraId="39690744">
      <w:pPr>
        <w:pStyle w:val="9"/>
        <w:spacing w:before="0" w:after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2.加强对各项中央、省级的公卫资金管理，按照资金的费用项目和用途进行资金使用审核，充分发挥资金作用。</w:t>
      </w:r>
    </w:p>
    <w:p w14:paraId="6230D107">
      <w:pPr>
        <w:pStyle w:val="9"/>
        <w:spacing w:before="0" w:after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3.完善资产管理，抓好“三公”经费控制。把关“三公”经费支出的审核、审批，杜绝挪用和挤占其他预算资金行为；合理压缩“三公”经费支出。</w:t>
      </w:r>
    </w:p>
    <w:p w14:paraId="61B02CD1">
      <w:pPr>
        <w:pStyle w:val="9"/>
        <w:spacing w:before="0" w:after="0"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4.加强对财务人员和财务主管领导的业务培训。</w:t>
      </w:r>
    </w:p>
    <w:p w14:paraId="0A19AF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部门整体支出绩效自评结果拟应用和公开情况</w:t>
      </w:r>
    </w:p>
    <w:p w14:paraId="2356D75C">
      <w:pPr>
        <w:pStyle w:val="9"/>
        <w:spacing w:before="0" w:after="0"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根据区财政相关部门统一部署，我单位2024年度部门整体支出绩效自评情况将在单位门户网站公开，接收社会监督，对绩效自评工作中发现的问题及时整改，解决好绩效评价管理中存在的问题，提高工作效能。</w:t>
      </w:r>
    </w:p>
    <w:p w14:paraId="479CFABA">
      <w:pPr>
        <w:numPr>
          <w:ilvl w:val="0"/>
          <w:numId w:val="2"/>
        </w:numPr>
        <w:spacing w:line="640" w:lineRule="exact"/>
        <w:ind w:left="0" w:leftChars="0" w:firstLine="640" w:firstLineChars="200"/>
        <w:jc w:val="both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其他需要说明的情况</w:t>
      </w:r>
    </w:p>
    <w:p w14:paraId="20DB6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无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</w:p>
    <w:p w14:paraId="76456C3B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58A393"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EDC8A"/>
    <w:multiLevelType w:val="singleLevel"/>
    <w:tmpl w:val="D9AEDC8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0EC1C7"/>
    <w:multiLevelType w:val="singleLevel"/>
    <w:tmpl w:val="3C0EC1C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mY3MGNhODc4MDI0YTMwYjJjOWM4OWVjNTg0ZGUifQ=="/>
  </w:docVars>
  <w:rsids>
    <w:rsidRoot w:val="004506F9"/>
    <w:rsid w:val="0002229B"/>
    <w:rsid w:val="000273BD"/>
    <w:rsid w:val="000415B7"/>
    <w:rsid w:val="00041E3F"/>
    <w:rsid w:val="00055DAA"/>
    <w:rsid w:val="00061F7B"/>
    <w:rsid w:val="000658A3"/>
    <w:rsid w:val="00074155"/>
    <w:rsid w:val="000873EF"/>
    <w:rsid w:val="000A3F69"/>
    <w:rsid w:val="00103957"/>
    <w:rsid w:val="00124A1F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14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C4197"/>
    <w:rsid w:val="003C47E6"/>
    <w:rsid w:val="003C4FC2"/>
    <w:rsid w:val="003E2331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1AF2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48B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75489"/>
    <w:rsid w:val="00DD06FF"/>
    <w:rsid w:val="00DD5FE9"/>
    <w:rsid w:val="00E00C7A"/>
    <w:rsid w:val="00E209CF"/>
    <w:rsid w:val="00E37D6C"/>
    <w:rsid w:val="00E55B68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1C626C"/>
    <w:rsid w:val="01C72E91"/>
    <w:rsid w:val="021462F7"/>
    <w:rsid w:val="02F465A3"/>
    <w:rsid w:val="03A91092"/>
    <w:rsid w:val="04074FB1"/>
    <w:rsid w:val="051D79F2"/>
    <w:rsid w:val="07D7113E"/>
    <w:rsid w:val="082F4AD6"/>
    <w:rsid w:val="089963F4"/>
    <w:rsid w:val="08B550CF"/>
    <w:rsid w:val="097479B5"/>
    <w:rsid w:val="09C304C0"/>
    <w:rsid w:val="0B5F35E9"/>
    <w:rsid w:val="0B854903"/>
    <w:rsid w:val="0C1E3C80"/>
    <w:rsid w:val="0D074274"/>
    <w:rsid w:val="0D7731A8"/>
    <w:rsid w:val="0E2D4DCF"/>
    <w:rsid w:val="10D5129D"/>
    <w:rsid w:val="11284E49"/>
    <w:rsid w:val="12DA5DA6"/>
    <w:rsid w:val="13B24271"/>
    <w:rsid w:val="13FA243C"/>
    <w:rsid w:val="14155C26"/>
    <w:rsid w:val="14F0527E"/>
    <w:rsid w:val="15695ACC"/>
    <w:rsid w:val="16E9345D"/>
    <w:rsid w:val="17266914"/>
    <w:rsid w:val="17BD39A0"/>
    <w:rsid w:val="17F6116D"/>
    <w:rsid w:val="19A5109C"/>
    <w:rsid w:val="1B884DC4"/>
    <w:rsid w:val="1F44371F"/>
    <w:rsid w:val="1F5A6485"/>
    <w:rsid w:val="1F8452B0"/>
    <w:rsid w:val="2326436F"/>
    <w:rsid w:val="232D091E"/>
    <w:rsid w:val="24B476BB"/>
    <w:rsid w:val="24EC57D9"/>
    <w:rsid w:val="259D70CC"/>
    <w:rsid w:val="26793695"/>
    <w:rsid w:val="282D04DE"/>
    <w:rsid w:val="2C302C51"/>
    <w:rsid w:val="2CE25D5E"/>
    <w:rsid w:val="2EA0798E"/>
    <w:rsid w:val="2F61116A"/>
    <w:rsid w:val="2F761F23"/>
    <w:rsid w:val="30260A0B"/>
    <w:rsid w:val="30CB6BB9"/>
    <w:rsid w:val="317B7A6F"/>
    <w:rsid w:val="33874675"/>
    <w:rsid w:val="34847DD4"/>
    <w:rsid w:val="35F9034E"/>
    <w:rsid w:val="36975097"/>
    <w:rsid w:val="36EE59D9"/>
    <w:rsid w:val="372E5DD5"/>
    <w:rsid w:val="38976EA5"/>
    <w:rsid w:val="396E1053"/>
    <w:rsid w:val="397C551E"/>
    <w:rsid w:val="39904B26"/>
    <w:rsid w:val="3B8033E1"/>
    <w:rsid w:val="3B9F72A2"/>
    <w:rsid w:val="3C2E3867"/>
    <w:rsid w:val="3CC86092"/>
    <w:rsid w:val="3CFF091B"/>
    <w:rsid w:val="3E6E6CED"/>
    <w:rsid w:val="408374B2"/>
    <w:rsid w:val="419F3155"/>
    <w:rsid w:val="425E7543"/>
    <w:rsid w:val="43520658"/>
    <w:rsid w:val="454C18AA"/>
    <w:rsid w:val="46CD560B"/>
    <w:rsid w:val="484216E1"/>
    <w:rsid w:val="49C87296"/>
    <w:rsid w:val="4A0155CC"/>
    <w:rsid w:val="4A227A1C"/>
    <w:rsid w:val="4A3A3DFD"/>
    <w:rsid w:val="4A812BF5"/>
    <w:rsid w:val="4B786273"/>
    <w:rsid w:val="4C6F5512"/>
    <w:rsid w:val="4C9D5EB3"/>
    <w:rsid w:val="4DA22C22"/>
    <w:rsid w:val="4DFD6E80"/>
    <w:rsid w:val="4E395334"/>
    <w:rsid w:val="4FCD667C"/>
    <w:rsid w:val="5181771E"/>
    <w:rsid w:val="51DD6851"/>
    <w:rsid w:val="527C37E2"/>
    <w:rsid w:val="52ED0DE3"/>
    <w:rsid w:val="534B2BB6"/>
    <w:rsid w:val="53B97094"/>
    <w:rsid w:val="54620F77"/>
    <w:rsid w:val="573C40E7"/>
    <w:rsid w:val="582B2191"/>
    <w:rsid w:val="588B6DEE"/>
    <w:rsid w:val="597731B4"/>
    <w:rsid w:val="5A0B2C4A"/>
    <w:rsid w:val="5A663955"/>
    <w:rsid w:val="5C886C3C"/>
    <w:rsid w:val="5F257D99"/>
    <w:rsid w:val="6068034B"/>
    <w:rsid w:val="610A59FC"/>
    <w:rsid w:val="66B45A48"/>
    <w:rsid w:val="685D3F6A"/>
    <w:rsid w:val="69216C99"/>
    <w:rsid w:val="69C87FED"/>
    <w:rsid w:val="6A5D6751"/>
    <w:rsid w:val="6AD94116"/>
    <w:rsid w:val="6B205651"/>
    <w:rsid w:val="6B2667E8"/>
    <w:rsid w:val="6B927554"/>
    <w:rsid w:val="6C101972"/>
    <w:rsid w:val="6CBB7E6B"/>
    <w:rsid w:val="6CD41B38"/>
    <w:rsid w:val="6CFE17CB"/>
    <w:rsid w:val="70F748AD"/>
    <w:rsid w:val="71681909"/>
    <w:rsid w:val="72103F0B"/>
    <w:rsid w:val="7293150A"/>
    <w:rsid w:val="73105314"/>
    <w:rsid w:val="73497518"/>
    <w:rsid w:val="737547B1"/>
    <w:rsid w:val="7514615F"/>
    <w:rsid w:val="766E6AD7"/>
    <w:rsid w:val="76724FD8"/>
    <w:rsid w:val="78C20A4C"/>
    <w:rsid w:val="793B7903"/>
    <w:rsid w:val="7A4B626B"/>
    <w:rsid w:val="7AEB5D74"/>
    <w:rsid w:val="7B09424A"/>
    <w:rsid w:val="7CE0578F"/>
    <w:rsid w:val="7DF440E5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/>
    </w:pPr>
  </w:style>
  <w:style w:type="paragraph" w:styleId="9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等线 Light" w:hAnsi="等线 Light" w:eastAsia="宋体"/>
      <w:b/>
      <w:bCs/>
      <w:sz w:val="32"/>
      <w:szCs w:val="32"/>
    </w:r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0904-B2FB-4FE3-894F-42F14B17B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6926</Words>
  <Characters>7725</Characters>
  <Lines>69</Lines>
  <Paragraphs>19</Paragraphs>
  <TotalTime>4</TotalTime>
  <ScaleCrop>false</ScaleCrop>
  <LinksUpToDate>false</LinksUpToDate>
  <CharactersWithSpaces>7765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淀</cp:lastModifiedBy>
  <cp:lastPrinted>2024-09-19T02:17:00Z</cp:lastPrinted>
  <dcterms:modified xsi:type="dcterms:W3CDTF">2025-10-28T03:19:35Z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F49699CB9C03480CBA5F77962FBC9D52_13</vt:lpwstr>
  </property>
  <property fmtid="{D5CDD505-2E9C-101B-9397-08002B2CF9AE}" pid="4" name="KSOTemplateDocerSaveRecord">
    <vt:lpwstr>eyJoZGlkIjoiYjZlYTU0N2U3NmI1OTk3NDJkYmMzZjFjOGQ1YWViZGEiLCJ1c2VySWQiOiIzMTIwMjI0MjYifQ==</vt:lpwstr>
  </property>
</Properties>
</file>