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65AF">
      <w:pP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3376EE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年度项目支出绩效自评表</w:t>
      </w:r>
    </w:p>
    <w:p w14:paraId="17CE8AA9">
      <w:pPr>
        <w:spacing w:line="217" w:lineRule="exact"/>
        <w:rPr>
          <w:rFonts w:ascii="Times New Roman" w:hAnsi="Times New Roman" w:cs="Times New Roman"/>
        </w:rPr>
      </w:pPr>
    </w:p>
    <w:tbl>
      <w:tblPr>
        <w:tblStyle w:val="4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050"/>
        <w:gridCol w:w="1137"/>
        <w:gridCol w:w="693"/>
        <w:gridCol w:w="383"/>
        <w:gridCol w:w="303"/>
        <w:gridCol w:w="760"/>
        <w:gridCol w:w="1081"/>
        <w:gridCol w:w="798"/>
        <w:gridCol w:w="828"/>
        <w:gridCol w:w="1311"/>
      </w:tblGrid>
      <w:tr w14:paraId="2DBA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511A1">
            <w:pPr>
              <w:spacing w:line="220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目名称</w:t>
            </w:r>
          </w:p>
        </w:tc>
        <w:tc>
          <w:tcPr>
            <w:tcW w:w="834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FF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环卫作业专项资金</w:t>
            </w:r>
          </w:p>
        </w:tc>
      </w:tr>
      <w:tr w14:paraId="29B96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4C788">
            <w:pPr>
              <w:spacing w:line="219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主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管部门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2123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柳叶湖旅游度假区管理委员会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DBE6EA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2"/>
                <w:sz w:val="18"/>
                <w:szCs w:val="18"/>
              </w:rPr>
              <w:t>实施单</w:t>
            </w:r>
            <w:r>
              <w:rPr>
                <w:rFonts w:ascii="Times New Roman" w:hAnsi="Times New Roman" w:eastAsia="宋体" w:cs="Times New Roman"/>
                <w:spacing w:val="1"/>
                <w:sz w:val="18"/>
                <w:szCs w:val="18"/>
              </w:rPr>
              <w:t>位</w:t>
            </w:r>
          </w:p>
        </w:tc>
        <w:tc>
          <w:tcPr>
            <w:tcW w:w="29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5511B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柳叶湖旅游度假区环境卫生管理处</w:t>
            </w:r>
          </w:p>
        </w:tc>
      </w:tr>
      <w:tr w14:paraId="076D1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563B17C">
            <w:pPr>
              <w:spacing w:line="290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  <w:t>项目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资金</w:t>
            </w: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（万元</w:t>
            </w:r>
            <w:r>
              <w:rPr>
                <w:rFonts w:hint="eastAsia" w:ascii="黑体" w:hAnsi="黑体" w:eastAsia="黑体" w:cs="黑体"/>
                <w:spacing w:val="10"/>
                <w:sz w:val="18"/>
                <w:szCs w:val="18"/>
              </w:rPr>
              <w:t>）</w:t>
            </w:r>
          </w:p>
        </w:tc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D02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07286">
            <w:pPr>
              <w:spacing w:line="281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18"/>
                <w:szCs w:val="18"/>
              </w:rPr>
              <w:t>上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18"/>
                <w:szCs w:val="18"/>
              </w:rPr>
              <w:t>年</w:t>
            </w:r>
          </w:p>
          <w:p w14:paraId="086F5872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4"/>
                <w:sz w:val="18"/>
                <w:szCs w:val="18"/>
              </w:rPr>
              <w:t>结转</w:t>
            </w: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C1F5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position w:val="5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pacing w:val="-2"/>
                <w:position w:val="5"/>
                <w:sz w:val="18"/>
                <w:szCs w:val="18"/>
              </w:rPr>
              <w:t>初</w:t>
            </w:r>
          </w:p>
          <w:p w14:paraId="664C08B2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D5ACA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18"/>
                <w:szCs w:val="18"/>
              </w:rPr>
              <w:t>全年</w:t>
            </w:r>
          </w:p>
          <w:p w14:paraId="637744B5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预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算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CE5CC2">
            <w:pPr>
              <w:spacing w:line="27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position w:val="4"/>
                <w:sz w:val="18"/>
                <w:szCs w:val="18"/>
              </w:rPr>
              <w:t>全年</w:t>
            </w:r>
          </w:p>
          <w:p w14:paraId="5A64054F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执行数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40EB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分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9422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CB9D2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得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分</w:t>
            </w:r>
          </w:p>
        </w:tc>
      </w:tr>
      <w:tr w14:paraId="05F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036BED9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4875AD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年度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资金总额</w:t>
            </w:r>
          </w:p>
        </w:tc>
        <w:tc>
          <w:tcPr>
            <w:tcW w:w="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56C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8E41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2660.42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510A2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2690.42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5C9D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2410.29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BDEFE">
            <w:pPr>
              <w:spacing w:line="185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16F1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89.59%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7029F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8.96</w:t>
            </w:r>
          </w:p>
        </w:tc>
      </w:tr>
      <w:tr w14:paraId="378BB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4CBCDE5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44B7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其中：当年财政拨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款</w:t>
            </w:r>
          </w:p>
        </w:tc>
        <w:tc>
          <w:tcPr>
            <w:tcW w:w="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F0A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1E90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2660.42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A1EC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2690.42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5094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2410.29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BC030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D6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89.59%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41DA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8.96</w:t>
            </w:r>
          </w:p>
        </w:tc>
      </w:tr>
      <w:tr w14:paraId="32A9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D3F94F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5A2B0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其他资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金</w:t>
            </w:r>
          </w:p>
        </w:tc>
        <w:tc>
          <w:tcPr>
            <w:tcW w:w="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A24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1E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FC4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DD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9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A1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FAD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4A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2A1F5C1">
            <w:pPr>
              <w:spacing w:line="291" w:lineRule="auto"/>
              <w:jc w:val="center"/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度总体</w:t>
            </w:r>
          </w:p>
          <w:p w14:paraId="3ECF6612">
            <w:pPr>
              <w:spacing w:line="291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9"/>
                <w:w w:val="97"/>
                <w:sz w:val="18"/>
                <w:szCs w:val="18"/>
              </w:rPr>
              <w:t>目标</w:t>
            </w: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CA880A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6C5EC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实际完成情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况</w:t>
            </w:r>
          </w:p>
        </w:tc>
      </w:tr>
      <w:tr w14:paraId="0D58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1A3225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3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90DB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加强考核督导，做好环卫清扫保洁，确保全区环境整洁卫生，优化城市形象；做好垃圾收集清运工作，做到城乡垃圾日产日清；搞好环卫设施设备的维护管理工作，满足作业需求；依法依规收取生活垃圾处置费，安全生产事故零落实垃圾收集制度，做到生活垃圾日产日清。在清运车辆方面，基本做到生活垃圾压缩转运率达100%，密闭化运输达100%。完善区内环卫基础设施建设。狠抓安全生产，力争安全事故零发生。</w:t>
            </w:r>
          </w:p>
        </w:tc>
        <w:tc>
          <w:tcPr>
            <w:tcW w:w="40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6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按照预期目标完成</w:t>
            </w:r>
          </w:p>
        </w:tc>
      </w:tr>
      <w:tr w14:paraId="0AAA1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1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02DE9137">
            <w:pPr>
              <w:spacing w:line="217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5"/>
                <w:sz w:val="18"/>
                <w:szCs w:val="18"/>
              </w:rPr>
              <w:t>绩</w:t>
            </w:r>
            <w:r>
              <w:rPr>
                <w:rFonts w:hint="eastAsia" w:ascii="黑体" w:hAnsi="黑体" w:eastAsia="黑体" w:cs="黑体"/>
                <w:spacing w:val="93"/>
                <w:sz w:val="18"/>
                <w:szCs w:val="18"/>
              </w:rPr>
              <w:t>效指标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480B24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一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E8EB8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二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949EC6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三级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0072B">
            <w:pPr>
              <w:spacing w:line="31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6"/>
                <w:position w:val="8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pacing w:val="5"/>
                <w:position w:val="8"/>
                <w:sz w:val="18"/>
                <w:szCs w:val="18"/>
              </w:rPr>
              <w:t>度</w:t>
            </w:r>
          </w:p>
          <w:p w14:paraId="2EBC6B49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指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标值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B87CD9">
            <w:pPr>
              <w:spacing w:line="279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4"/>
                <w:position w:val="5"/>
                <w:sz w:val="18"/>
                <w:szCs w:val="18"/>
              </w:rPr>
              <w:t>实际</w:t>
            </w:r>
          </w:p>
          <w:p w14:paraId="3856396B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完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成值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101A5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分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值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1801F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得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分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06A9A1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偏差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原因</w:t>
            </w:r>
          </w:p>
          <w:p w14:paraId="792118AA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4"/>
                <w:sz w:val="18"/>
                <w:szCs w:val="18"/>
              </w:rPr>
              <w:t>分</w:t>
            </w:r>
            <w:r>
              <w:rPr>
                <w:rFonts w:ascii="Times New Roman" w:hAnsi="Times New Roman" w:eastAsia="宋体" w:cs="Times New Roman"/>
                <w:spacing w:val="3"/>
                <w:sz w:val="18"/>
                <w:szCs w:val="18"/>
              </w:rPr>
              <w:t>析及</w:t>
            </w:r>
          </w:p>
          <w:p w14:paraId="551AC46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改进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措施</w:t>
            </w:r>
          </w:p>
        </w:tc>
      </w:tr>
      <w:tr w14:paraId="58C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26337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</w:tcBorders>
            <w:vAlign w:val="center"/>
          </w:tcPr>
          <w:p w14:paraId="36DD788A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产出指标</w:t>
            </w:r>
          </w:p>
          <w:p w14:paraId="09D18EAD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11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pacing w:val="8"/>
                <w:sz w:val="18"/>
                <w:szCs w:val="18"/>
              </w:rPr>
              <w:t>50分</w:t>
            </w:r>
            <w:r>
              <w:rPr>
                <w:rFonts w:hint="eastAsia" w:ascii="Times New Roman" w:hAnsi="Times New Roman" w:eastAsia="宋体" w:cs="Times New Roman"/>
                <w:spacing w:val="8"/>
                <w:sz w:val="18"/>
                <w:szCs w:val="18"/>
              </w:rPr>
              <w:t>）</w:t>
            </w:r>
          </w:p>
        </w:tc>
        <w:tc>
          <w:tcPr>
            <w:tcW w:w="1137" w:type="dxa"/>
            <w:vMerge w:val="restart"/>
            <w:tcBorders>
              <w:top w:val="single" w:color="000000" w:sz="2" w:space="0"/>
            </w:tcBorders>
            <w:vAlign w:val="center"/>
          </w:tcPr>
          <w:p w14:paraId="09C0EBFA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2F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保洁面积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443.19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万</w:t>
            </w:r>
            <w:r>
              <w:rPr>
                <w:rStyle w:val="5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D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443.19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万</w:t>
            </w:r>
            <w:r>
              <w:rPr>
                <w:rStyle w:val="5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14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19C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AFC2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F4F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41340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1BE05CA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22237446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垃圾数量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约</w:t>
            </w:r>
            <w:r>
              <w:rPr>
                <w:rStyle w:val="6"/>
                <w:rFonts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2.5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万吨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约</w:t>
            </w:r>
            <w:r>
              <w:rPr>
                <w:rStyle w:val="6"/>
                <w:rFonts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2.5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万吨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60B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D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027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A4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82309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0ACC5C6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525C8E9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中转站数量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60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0F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06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65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4B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63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52778E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70FAEE5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63EFAA0E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5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公厕数量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7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7D2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841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1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CB5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14C99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56C8A75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548D5EDC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1B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果皮桶数量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530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ED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14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813F5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8D263A7">
            <w:pPr>
              <w:spacing w:line="282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bottom w:val="single" w:color="000000" w:sz="2" w:space="0"/>
            </w:tcBorders>
            <w:vAlign w:val="center"/>
          </w:tcPr>
          <w:p w14:paraId="469A2A64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3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垃圾箱数量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9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"/>
                <w:snapToGrid w:val="0"/>
                <w:color w:val="00000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51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A4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F4D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EB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BE448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4E28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2" w:space="0"/>
            </w:tcBorders>
            <w:vAlign w:val="center"/>
          </w:tcPr>
          <w:p w14:paraId="45CAEEDA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质量指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44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重大安全事故发生率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238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零发生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141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零发生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C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CC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04D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49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67BDD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493F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36E9CDD9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5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A70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8B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0A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9D555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0B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21A3B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95E4A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1B66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5333BBE9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B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设施完好率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38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3C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22E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DFFD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430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14FD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7BAFA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92F4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415492BD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生活垃圾压缩运转率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68F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81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58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AADE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42DC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3455C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68481D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00922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bottom w:val="single" w:color="000000" w:sz="2" w:space="0"/>
            </w:tcBorders>
            <w:vAlign w:val="center"/>
          </w:tcPr>
          <w:p w14:paraId="0DFE1FA7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39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密闭化运输率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AB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4E3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67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08B8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AC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4770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BEA19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6BF8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64569">
            <w:pPr>
              <w:spacing w:line="22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2"/>
                <w:sz w:val="18"/>
                <w:szCs w:val="18"/>
              </w:rPr>
              <w:t>时效指</w:t>
            </w:r>
            <w:r>
              <w:rPr>
                <w:rFonts w:ascii="Times New Roman" w:hAnsi="Times New Roman" w:eastAsia="宋体" w:cs="Times New Roman"/>
                <w:spacing w:val="1"/>
                <w:sz w:val="18"/>
                <w:szCs w:val="18"/>
              </w:rPr>
              <w:t>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4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5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2024年内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3BC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2024年内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1F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42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013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1B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1DA61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646F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2" w:space="0"/>
            </w:tcBorders>
            <w:vAlign w:val="center"/>
          </w:tcPr>
          <w:p w14:paraId="2C33D50A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4CD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成本规范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合理率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C0D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154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231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2EBE7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C7D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B37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E1E9D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bottom w:val="single" w:color="000000" w:sz="2" w:space="0"/>
            </w:tcBorders>
            <w:vAlign w:val="center"/>
          </w:tcPr>
          <w:p w14:paraId="673C4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bottom w:val="single" w:color="000000" w:sz="2" w:space="0"/>
            </w:tcBorders>
            <w:vAlign w:val="center"/>
          </w:tcPr>
          <w:p w14:paraId="58C99E74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E0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支出总额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86F26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2690.42万元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60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2410..29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FAB4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3E26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8.96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C2A185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部分市场化费用</w:t>
            </w:r>
          </w:p>
          <w:p w14:paraId="4751C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未结算</w:t>
            </w:r>
          </w:p>
        </w:tc>
      </w:tr>
      <w:tr w14:paraId="700B6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25995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</w:tcBorders>
            <w:vAlign w:val="center"/>
          </w:tcPr>
          <w:p w14:paraId="3FA7C5D7">
            <w:pPr>
              <w:spacing w:line="273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效益指标</w:t>
            </w:r>
          </w:p>
          <w:p w14:paraId="7F9747D2">
            <w:pPr>
              <w:spacing w:line="273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8F088B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9"/>
                <w:sz w:val="18"/>
                <w:szCs w:val="18"/>
              </w:rPr>
              <w:t>社</w:t>
            </w: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会效益</w:t>
            </w:r>
          </w:p>
          <w:p w14:paraId="5FFB81A1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5"/>
                <w:sz w:val="18"/>
                <w:szCs w:val="18"/>
              </w:rPr>
              <w:t>指</w:t>
            </w:r>
            <w:r>
              <w:rPr>
                <w:rFonts w:ascii="Times New Roman" w:hAnsi="Times New Roman" w:eastAsia="宋体" w:cs="Times New Roman"/>
                <w:spacing w:val="4"/>
                <w:sz w:val="18"/>
                <w:szCs w:val="18"/>
              </w:rPr>
              <w:t>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0C2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整洁卫生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1D4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8E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1F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8DE5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0F67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568D7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C815B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B197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F2C5A8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9"/>
                <w:sz w:val="18"/>
                <w:szCs w:val="18"/>
              </w:rPr>
              <w:t>生</w:t>
            </w: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态效益</w:t>
            </w:r>
          </w:p>
          <w:p w14:paraId="2639009B">
            <w:pPr>
              <w:spacing w:line="227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5"/>
                <w:sz w:val="18"/>
                <w:szCs w:val="18"/>
              </w:rPr>
              <w:t>指</w:t>
            </w:r>
            <w:r>
              <w:rPr>
                <w:rFonts w:ascii="Times New Roman" w:hAnsi="Times New Roman" w:eastAsia="宋体" w:cs="Times New Roman"/>
                <w:spacing w:val="4"/>
                <w:sz w:val="18"/>
                <w:szCs w:val="18"/>
              </w:rPr>
              <w:t>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C1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城市环境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6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维护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B1B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维护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17F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962C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1AE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63BA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4223E37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bottom w:val="single" w:color="000000" w:sz="2" w:space="0"/>
            </w:tcBorders>
            <w:vAlign w:val="center"/>
          </w:tcPr>
          <w:p w14:paraId="1DC87EFE">
            <w:pPr>
              <w:spacing w:line="217" w:lineRule="auto"/>
              <w:jc w:val="center"/>
              <w:rPr>
                <w:rFonts w:hint="eastAsia" w:ascii="Times New Roman" w:hAnsi="Times New Roman" w:eastAsia="宋体" w:cs="Times New Roman"/>
                <w:spacing w:val="1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AE355">
            <w:pPr>
              <w:spacing w:line="19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9"/>
                <w:sz w:val="18"/>
                <w:szCs w:val="18"/>
              </w:rPr>
              <w:t>可</w:t>
            </w:r>
            <w:r>
              <w:rPr>
                <w:rFonts w:ascii="Times New Roman" w:hAnsi="Times New Roman" w:eastAsia="宋体" w:cs="Times New Roman"/>
                <w:spacing w:val="7"/>
                <w:sz w:val="18"/>
                <w:szCs w:val="18"/>
              </w:rPr>
              <w:t>持续影</w:t>
            </w:r>
            <w:r>
              <w:rPr>
                <w:rFonts w:ascii="Times New Roman" w:hAnsi="Times New Roman" w:eastAsia="宋体" w:cs="Times New Roman"/>
                <w:spacing w:val="13"/>
                <w:sz w:val="18"/>
                <w:szCs w:val="18"/>
              </w:rPr>
              <w:t>响</w:t>
            </w:r>
            <w:r>
              <w:rPr>
                <w:rFonts w:ascii="Times New Roman" w:hAnsi="Times New Roman" w:eastAsia="宋体" w:cs="Times New Roman"/>
                <w:spacing w:val="12"/>
                <w:sz w:val="18"/>
                <w:szCs w:val="18"/>
              </w:rPr>
              <w:t>指标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CB7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城市形象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1E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B3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3C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A7D6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78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5222D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1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7BD5EA9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</w:tcBorders>
            <w:vAlign w:val="center"/>
          </w:tcPr>
          <w:p w14:paraId="0E9412AF">
            <w:pPr>
              <w:spacing w:line="217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满意度指标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(10分)</w:t>
            </w:r>
          </w:p>
        </w:tc>
        <w:tc>
          <w:tcPr>
            <w:tcW w:w="1137" w:type="dxa"/>
            <w:vMerge w:val="restart"/>
            <w:tcBorders>
              <w:top w:val="single" w:color="000000" w:sz="2" w:space="0"/>
            </w:tcBorders>
            <w:vAlign w:val="center"/>
          </w:tcPr>
          <w:p w14:paraId="2ED3E8F7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服务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对象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满</w:t>
            </w:r>
          </w:p>
          <w:p w14:paraId="228E63A5">
            <w:pPr>
              <w:spacing w:line="21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意</w:t>
            </w: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度指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标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265C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服务对象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3CD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7A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F5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456B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D4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2549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15" w:type="dxa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186F6D5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bottom w:val="single" w:color="000000" w:sz="2" w:space="0"/>
            </w:tcBorders>
            <w:vAlign w:val="center"/>
          </w:tcPr>
          <w:p w14:paraId="163017FA">
            <w:pPr>
              <w:spacing w:line="217" w:lineRule="auto"/>
              <w:jc w:val="center"/>
              <w:rPr>
                <w:rFonts w:hint="eastAsia" w:ascii="Times New Roman" w:hAnsi="Times New Roman" w:eastAsia="宋体" w:cs="Times New Roman"/>
                <w:spacing w:val="11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bottom w:val="single" w:color="000000" w:sz="2" w:space="0"/>
            </w:tcBorders>
            <w:vAlign w:val="center"/>
          </w:tcPr>
          <w:p w14:paraId="24B6DDA4">
            <w:pPr>
              <w:spacing w:line="199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6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社会工众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486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10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4D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29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649F0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E10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有待加强</w:t>
            </w:r>
          </w:p>
        </w:tc>
      </w:tr>
      <w:tr w14:paraId="3A242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42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E8C76">
            <w:pPr>
              <w:spacing w:line="220" w:lineRule="auto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总分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504E5">
            <w:pPr>
              <w:spacing w:line="175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00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C7C60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92.62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B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0CFD88">
      <w:pPr>
        <w:spacing w:before="113" w:line="219" w:lineRule="auto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pacing w:val="11"/>
          <w:sz w:val="18"/>
          <w:szCs w:val="18"/>
        </w:rPr>
        <w:t>备</w:t>
      </w:r>
      <w:r>
        <w:rPr>
          <w:rFonts w:hint="eastAsia" w:ascii="仿宋" w:hAnsi="仿宋" w:eastAsia="仿宋" w:cs="仿宋"/>
          <w:spacing w:val="7"/>
          <w:sz w:val="18"/>
          <w:szCs w:val="18"/>
        </w:rPr>
        <w:t>注：一个项目支出一张表。</w:t>
      </w:r>
    </w:p>
    <w:p w14:paraId="5EAC9986">
      <w:pPr>
        <w:spacing w:before="62" w:line="291" w:lineRule="auto"/>
        <w:ind w:right="305"/>
        <w:rPr>
          <w:rFonts w:ascii="仿宋" w:hAnsi="仿宋" w:eastAsia="仿宋" w:cs="仿宋"/>
          <w:spacing w:val="-18"/>
          <w:sz w:val="18"/>
          <w:szCs w:val="18"/>
        </w:rPr>
      </w:pPr>
    </w:p>
    <w:p w14:paraId="5F73E06A">
      <w:pPr>
        <w:spacing w:before="62" w:line="291" w:lineRule="auto"/>
        <w:ind w:right="305"/>
      </w:pPr>
      <w:r>
        <w:rPr>
          <w:rFonts w:hint="eastAsia" w:ascii="仿宋" w:hAnsi="仿宋" w:eastAsia="仿宋" w:cs="仿宋"/>
          <w:spacing w:val="-18"/>
          <w:sz w:val="18"/>
          <w:szCs w:val="18"/>
        </w:rPr>
        <w:t>填表人：</w:t>
      </w:r>
      <w:r>
        <w:rPr>
          <w:rFonts w:hint="eastAsia" w:ascii="仿宋" w:hAnsi="仿宋" w:eastAsia="仿宋" w:cs="仿宋"/>
          <w:spacing w:val="-18"/>
          <w:sz w:val="18"/>
          <w:szCs w:val="18"/>
          <w:lang w:eastAsia="zh-CN"/>
        </w:rPr>
        <w:t>刘莉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        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      填报日期：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>2025年5月20日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            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  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18"/>
          <w:sz w:val="18"/>
          <w:szCs w:val="18"/>
        </w:rPr>
        <w:t xml:space="preserve">  联系电话：</w:t>
      </w:r>
      <w:r>
        <w:rPr>
          <w:rFonts w:hint="eastAsia" w:ascii="仿宋" w:hAnsi="仿宋" w:eastAsia="仿宋" w:cs="仿宋"/>
          <w:spacing w:val="-18"/>
          <w:sz w:val="18"/>
          <w:szCs w:val="18"/>
          <w:lang w:val="en-US" w:eastAsia="zh-CN"/>
        </w:rPr>
        <w:t>7816607</w:t>
      </w:r>
    </w:p>
    <w:sectPr>
      <w:pgSz w:w="11906" w:h="16838"/>
      <w:pgMar w:top="1134" w:right="1587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63E1"/>
    <w:rsid w:val="01017FB5"/>
    <w:rsid w:val="0AE519FA"/>
    <w:rsid w:val="0D7D4536"/>
    <w:rsid w:val="1C3234FD"/>
    <w:rsid w:val="212927A5"/>
    <w:rsid w:val="24C34ACD"/>
    <w:rsid w:val="25EA63E1"/>
    <w:rsid w:val="29EC33D1"/>
    <w:rsid w:val="2C66733E"/>
    <w:rsid w:val="37F75AC9"/>
    <w:rsid w:val="383C09C6"/>
    <w:rsid w:val="3FCE5FBC"/>
    <w:rsid w:val="42113129"/>
    <w:rsid w:val="421C6BE8"/>
    <w:rsid w:val="48E924A4"/>
    <w:rsid w:val="5077417F"/>
    <w:rsid w:val="507937F0"/>
    <w:rsid w:val="57831D16"/>
    <w:rsid w:val="5DD3777C"/>
    <w:rsid w:val="610111F9"/>
    <w:rsid w:val="657D3699"/>
    <w:rsid w:val="66583C06"/>
    <w:rsid w:val="67D539FD"/>
    <w:rsid w:val="6CDB3F1D"/>
    <w:rsid w:val="6DF130DE"/>
    <w:rsid w:val="732045A1"/>
    <w:rsid w:val="778D031B"/>
    <w:rsid w:val="7836554D"/>
    <w:rsid w:val="794D1BFD"/>
    <w:rsid w:val="7AC83453"/>
    <w:rsid w:val="7E7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1922</Words>
  <Characters>2476</Characters>
  <Lines>0</Lines>
  <Paragraphs>0</Paragraphs>
  <TotalTime>143</TotalTime>
  <ScaleCrop>false</ScaleCrop>
  <LinksUpToDate>false</LinksUpToDate>
  <CharactersWithSpaces>2670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2025-06-03T03:14:00Z</dcterms:created>
  <dc:creator>云淡风清舞</dc:creator>
  <cp:lastModifiedBy>淀</cp:lastModifiedBy>
  <cp:lastPrinted>2025-07-03T01:55:00Z</cp:lastPrinted>
  <dcterms:modified xsi:type="dcterms:W3CDTF">2025-07-14T02:02:09Z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5A30D3515C564EBF8273E043F15C6792_13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