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D8" w:rsidRDefault="005B54D8" w:rsidP="005B54D8">
      <w:pPr>
        <w:widowControl/>
        <w:jc w:val="left"/>
        <w:rPr>
          <w:rFonts w:eastAsia="黑体" w:hint="eastAsia"/>
          <w:sz w:val="24"/>
          <w:szCs w:val="24"/>
        </w:rPr>
      </w:pPr>
    </w:p>
    <w:p w:rsidR="005B54D8" w:rsidRDefault="005B54D8" w:rsidP="005B54D8">
      <w:pPr>
        <w:widowControl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附件</w:t>
      </w:r>
      <w:r>
        <w:rPr>
          <w:rFonts w:eastAsia="黑体" w:hint="eastAsia"/>
          <w:sz w:val="24"/>
          <w:szCs w:val="24"/>
        </w:rPr>
        <w:t>2</w:t>
      </w:r>
    </w:p>
    <w:p w:rsidR="005B54D8" w:rsidRDefault="005B54D8" w:rsidP="005B54D8">
      <w:pPr>
        <w:widowControl/>
        <w:jc w:val="left"/>
        <w:rPr>
          <w:rFonts w:eastAsia="黑体"/>
          <w:sz w:val="24"/>
          <w:szCs w:val="24"/>
        </w:rPr>
      </w:pPr>
    </w:p>
    <w:p w:rsidR="005B54D8" w:rsidRPr="00A944A0" w:rsidRDefault="005B54D8" w:rsidP="00B96536">
      <w:pPr>
        <w:widowControl/>
        <w:spacing w:afterLines="50" w:after="156"/>
        <w:jc w:val="center"/>
        <w:rPr>
          <w:rFonts w:eastAsia="方正小标宋_GBK"/>
          <w:color w:val="000000"/>
          <w:sz w:val="30"/>
          <w:szCs w:val="30"/>
        </w:rPr>
      </w:pPr>
      <w:r w:rsidRPr="00A944A0">
        <w:rPr>
          <w:rFonts w:eastAsia="方正小标宋_GBK"/>
          <w:color w:val="000000"/>
          <w:sz w:val="30"/>
          <w:szCs w:val="30"/>
        </w:rPr>
        <w:t>202</w:t>
      </w:r>
      <w:r w:rsidR="00AB085D" w:rsidRPr="00A944A0">
        <w:rPr>
          <w:rFonts w:eastAsia="方正小标宋_GBK" w:hint="eastAsia"/>
          <w:color w:val="000000"/>
          <w:sz w:val="30"/>
          <w:szCs w:val="30"/>
        </w:rPr>
        <w:t>3</w:t>
      </w:r>
      <w:r w:rsidRPr="00A944A0">
        <w:rPr>
          <w:rFonts w:eastAsia="方正小标宋_GBK"/>
          <w:color w:val="000000"/>
          <w:sz w:val="30"/>
          <w:szCs w:val="30"/>
        </w:rPr>
        <w:t>年度部门整体支出绩效自评表</w:t>
      </w:r>
    </w:p>
    <w:tbl>
      <w:tblPr>
        <w:tblW w:w="10079" w:type="dxa"/>
        <w:jc w:val="center"/>
        <w:tblLook w:val="0000" w:firstRow="0" w:lastRow="0" w:firstColumn="0" w:lastColumn="0" w:noHBand="0" w:noVBand="0"/>
      </w:tblPr>
      <w:tblGrid>
        <w:gridCol w:w="1076"/>
        <w:gridCol w:w="1076"/>
        <w:gridCol w:w="1051"/>
        <w:gridCol w:w="866"/>
        <w:gridCol w:w="579"/>
        <w:gridCol w:w="328"/>
        <w:gridCol w:w="772"/>
        <w:gridCol w:w="1305"/>
        <w:gridCol w:w="714"/>
        <w:gridCol w:w="293"/>
        <w:gridCol w:w="586"/>
        <w:gridCol w:w="1433"/>
      </w:tblGrid>
      <w:tr w:rsidR="005B54D8" w:rsidRPr="004B3400" w:rsidTr="00DE2B4D">
        <w:trPr>
          <w:trHeight w:val="80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预算单位名  称</w:t>
            </w:r>
          </w:p>
        </w:tc>
        <w:tc>
          <w:tcPr>
            <w:tcW w:w="9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FF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FF0000"/>
                <w:sz w:val="18"/>
                <w:szCs w:val="18"/>
              </w:rPr>
              <w:t>常德柳叶湖旅游度假区红旗水库管理所</w:t>
            </w:r>
            <w:r w:rsidRPr="004B3400">
              <w:rPr>
                <w:rFonts w:eastAsia="仿宋"/>
                <w:color w:val="FF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E2B4D">
        <w:trPr>
          <w:trHeight w:val="567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年度预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proofErr w:type="gramStart"/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算申请</w:t>
            </w:r>
            <w:proofErr w:type="gramEnd"/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br/>
              <w:t>（万元）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上年</w:t>
            </w:r>
          </w:p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结转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年初</w:t>
            </w:r>
          </w:p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全年预算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全年执行数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执行率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得分</w:t>
            </w:r>
          </w:p>
        </w:tc>
      </w:tr>
      <w:tr w:rsidR="005B54D8" w:rsidRPr="004B3400" w:rsidTr="00DE2B4D">
        <w:trPr>
          <w:trHeight w:val="34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年度资金总额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01577F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hint="eastAsia"/>
                <w:sz w:val="18"/>
                <w:szCs w:val="18"/>
              </w:rPr>
              <w:t>320.89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56670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hint="eastAsia"/>
                <w:sz w:val="18"/>
                <w:szCs w:val="18"/>
              </w:rPr>
              <w:t>501</w:t>
            </w:r>
            <w:r w:rsidR="00AB085D" w:rsidRPr="004B3400">
              <w:rPr>
                <w:rFonts w:hint="eastAsia"/>
                <w:sz w:val="18"/>
                <w:szCs w:val="18"/>
              </w:rPr>
              <w:t>.57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AB085D" w:rsidP="00AB085D">
            <w:pPr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hint="eastAsia"/>
                <w:sz w:val="18"/>
                <w:szCs w:val="18"/>
              </w:rPr>
              <w:t>501.57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364B68" w:rsidP="00E85BB6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100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9.</w:t>
            </w:r>
            <w:r w:rsidR="00E85BB6" w:rsidRPr="004B3400">
              <w:rPr>
                <w:rFonts w:eastAsia="仿宋" w:hint="eastAsia"/>
                <w:color w:val="000000"/>
                <w:sz w:val="18"/>
                <w:szCs w:val="18"/>
              </w:rPr>
              <w:t>6</w:t>
            </w:r>
          </w:p>
        </w:tc>
      </w:tr>
      <w:tr w:rsidR="005B54D8" w:rsidRPr="004B3400" w:rsidTr="00DE2B4D">
        <w:trPr>
          <w:trHeight w:val="34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按收入</w:t>
            </w:r>
            <w:r w:rsidR="007A6FE4" w:rsidRPr="004B3400">
              <w:rPr>
                <w:rFonts w:eastAsia="仿宋" w:hint="eastAsia"/>
                <w:color w:val="000000"/>
                <w:sz w:val="18"/>
                <w:szCs w:val="18"/>
              </w:rPr>
              <w:t>性质分：</w:t>
            </w:r>
            <w:r w:rsidR="002F09EB" w:rsidRPr="004B3400">
              <w:rPr>
                <w:rFonts w:eastAsia="仿宋" w:hint="eastAsia"/>
                <w:color w:val="000000"/>
                <w:sz w:val="18"/>
                <w:szCs w:val="18"/>
              </w:rPr>
              <w:t>501</w:t>
            </w:r>
            <w:r w:rsidR="007A6FE4" w:rsidRPr="004B3400">
              <w:rPr>
                <w:rFonts w:eastAsia="仿宋" w:hint="eastAsia"/>
                <w:color w:val="000000"/>
                <w:sz w:val="18"/>
                <w:szCs w:val="18"/>
              </w:rPr>
              <w:t>.57</w:t>
            </w:r>
          </w:p>
        </w:tc>
        <w:tc>
          <w:tcPr>
            <w:tcW w:w="4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按支出性质分：</w:t>
            </w:r>
            <w:r w:rsidR="007A6FE4" w:rsidRPr="004B3400">
              <w:rPr>
                <w:rFonts w:hint="eastAsia"/>
                <w:sz w:val="18"/>
                <w:szCs w:val="18"/>
              </w:rPr>
              <w:t>501.57</w:t>
            </w:r>
          </w:p>
        </w:tc>
      </w:tr>
      <w:tr w:rsidR="005B54D8" w:rsidRPr="004B3400" w:rsidTr="00DE2B4D">
        <w:trPr>
          <w:trHeight w:val="34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  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其中：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  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一般公共预算：</w:t>
            </w:r>
            <w:r w:rsidR="002F09EB" w:rsidRPr="004B3400">
              <w:rPr>
                <w:rFonts w:hint="eastAsia"/>
                <w:sz w:val="18"/>
                <w:szCs w:val="18"/>
              </w:rPr>
              <w:t>501</w:t>
            </w:r>
            <w:r w:rsidR="007A6FE4" w:rsidRPr="004B3400">
              <w:rPr>
                <w:rFonts w:hint="eastAsia"/>
                <w:sz w:val="18"/>
                <w:szCs w:val="18"/>
              </w:rPr>
              <w:t>.57</w:t>
            </w:r>
          </w:p>
        </w:tc>
        <w:tc>
          <w:tcPr>
            <w:tcW w:w="4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其中：基本支出：</w:t>
            </w:r>
            <w:r w:rsidR="007A6FE4" w:rsidRPr="004B3400">
              <w:rPr>
                <w:rFonts w:hint="eastAsia"/>
                <w:sz w:val="18"/>
                <w:szCs w:val="18"/>
              </w:rPr>
              <w:t>310.6</w:t>
            </w:r>
          </w:p>
        </w:tc>
      </w:tr>
      <w:tr w:rsidR="005B54D8" w:rsidRPr="004B3400" w:rsidTr="00DE2B4D">
        <w:trPr>
          <w:trHeight w:val="34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4B3400">
            <w:pPr>
              <w:widowControl/>
              <w:spacing w:line="240" w:lineRule="exact"/>
              <w:ind w:firstLineChars="400" w:firstLine="72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政府性基金拨款：</w:t>
            </w:r>
          </w:p>
        </w:tc>
        <w:tc>
          <w:tcPr>
            <w:tcW w:w="4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4B3400">
            <w:pPr>
              <w:widowControl/>
              <w:spacing w:line="240" w:lineRule="exact"/>
              <w:ind w:firstLineChars="300" w:firstLine="54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项目支出：</w:t>
            </w:r>
            <w:r w:rsidR="007A6FE4" w:rsidRPr="004B3400">
              <w:rPr>
                <w:rFonts w:hint="eastAsia"/>
                <w:sz w:val="18"/>
                <w:szCs w:val="18"/>
              </w:rPr>
              <w:t>190.97</w:t>
            </w:r>
          </w:p>
        </w:tc>
      </w:tr>
      <w:tr w:rsidR="005B54D8" w:rsidRPr="004B3400" w:rsidTr="00DE2B4D">
        <w:trPr>
          <w:trHeight w:val="32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纳入专户管理的非税收入拨款：</w:t>
            </w:r>
          </w:p>
        </w:tc>
        <w:tc>
          <w:tcPr>
            <w:tcW w:w="4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E2B4D">
        <w:trPr>
          <w:trHeight w:val="34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4B3400">
            <w:pPr>
              <w:widowControl/>
              <w:spacing w:line="240" w:lineRule="exact"/>
              <w:ind w:firstLineChars="700" w:firstLine="126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其他资金：</w:t>
            </w:r>
          </w:p>
        </w:tc>
        <w:tc>
          <w:tcPr>
            <w:tcW w:w="4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E2B4D">
        <w:trPr>
          <w:trHeight w:val="387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实际完成情况　</w:t>
            </w:r>
          </w:p>
        </w:tc>
      </w:tr>
      <w:tr w:rsidR="005B54D8" w:rsidRPr="004B3400" w:rsidTr="00D52460">
        <w:trPr>
          <w:trHeight w:val="2336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7A6FE4" w:rsidP="005B54D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大坝渠道清淤砍杂、灌区续建配套与节水改造工程渠道改造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3200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米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、大坝草皮维护</w:t>
            </w:r>
            <w:r w:rsidR="006F161F" w:rsidRPr="004B3400">
              <w:rPr>
                <w:rFonts w:eastAsia="仿宋" w:hint="eastAsia"/>
                <w:color w:val="000000"/>
                <w:sz w:val="18"/>
                <w:szCs w:val="18"/>
              </w:rPr>
              <w:t>5.3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万平米；</w:t>
            </w:r>
          </w:p>
          <w:p w:rsidR="005B54D8" w:rsidRPr="004B3400" w:rsidRDefault="005B54D8" w:rsidP="005B54D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蓄水保水</w:t>
            </w:r>
            <w:r w:rsidR="006F161F" w:rsidRPr="004B3400">
              <w:rPr>
                <w:rFonts w:eastAsia="仿宋" w:hint="eastAsia"/>
                <w:color w:val="000000"/>
                <w:sz w:val="18"/>
                <w:szCs w:val="18"/>
              </w:rPr>
              <w:t>200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万立方、灌溉农田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1.5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万亩，受益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万人</w:t>
            </w:r>
          </w:p>
          <w:p w:rsidR="005B54D8" w:rsidRPr="004B3400" w:rsidRDefault="005B54D8" w:rsidP="005B54D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做好水情、雨情监测，确保水库大坝安全，做好防汛抗旱工作，确保灌区群众生产；</w:t>
            </w:r>
          </w:p>
          <w:p w:rsidR="005B54D8" w:rsidRPr="004B3400" w:rsidRDefault="005B54D8" w:rsidP="005B54D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做好水源保护工作，保护灌区群众饮水安全；</w:t>
            </w:r>
          </w:p>
          <w:p w:rsidR="005B54D8" w:rsidRPr="004B3400" w:rsidRDefault="005B54D8" w:rsidP="005B54D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做好争先创优工作，争创绩效评优先进单位</w:t>
            </w:r>
          </w:p>
          <w:p w:rsidR="005B54D8" w:rsidRPr="004B3400" w:rsidRDefault="005B54D8" w:rsidP="005B54D8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责任事故零发生。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按照预期目标完成</w:t>
            </w:r>
          </w:p>
        </w:tc>
      </w:tr>
      <w:tr w:rsidR="005B54D8" w:rsidRPr="004B3400" w:rsidTr="00D52460">
        <w:trPr>
          <w:trHeight w:val="567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proofErr w:type="gramStart"/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绩</w:t>
            </w:r>
            <w:proofErr w:type="gramEnd"/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proofErr w:type="gramStart"/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效</w:t>
            </w:r>
            <w:proofErr w:type="gramEnd"/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指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 w:rsidRPr="004B3400"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标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年度指标值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实际完成值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/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偏差原因分析及改进措施</w:t>
            </w:r>
          </w:p>
        </w:tc>
      </w:tr>
      <w:tr w:rsidR="005B54D8" w:rsidRPr="004B3400" w:rsidTr="00D52460">
        <w:trPr>
          <w:trHeight w:val="49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产出指标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（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50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大坝草皮维护面积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5.3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万平米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6F161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5.</w:t>
            </w:r>
            <w:r w:rsidR="006F161F"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万平米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513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增加蓄水量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200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万方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200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万方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447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FE7749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渠道修复长度（渠道护砌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FE7749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3200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FE7749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3200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444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渠道</w:t>
            </w:r>
            <w:proofErr w:type="gramStart"/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清淤砍杂长度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="00FE7749" w:rsidRPr="004B3400">
              <w:rPr>
                <w:rFonts w:eastAsia="仿宋" w:hint="eastAsia"/>
                <w:color w:val="000000"/>
                <w:sz w:val="18"/>
                <w:szCs w:val="18"/>
              </w:rPr>
              <w:t>.4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="00FE7749" w:rsidRPr="004B3400">
              <w:rPr>
                <w:rFonts w:eastAsia="仿宋" w:hint="eastAsia"/>
                <w:color w:val="000000"/>
                <w:sz w:val="18"/>
                <w:szCs w:val="18"/>
              </w:rPr>
              <w:t>.4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FE7749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FE7749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426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南、北截流渠日常维护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6F161F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FE7749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FE7749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4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工程质量验收合格率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4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安全事故发生率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零发生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零发生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4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水源质量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Ⅲ类以上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Ⅲ类以上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4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机构正常运转率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4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上级党建</w:t>
            </w:r>
            <w:proofErr w:type="gramEnd"/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任务完成率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893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其他各项工作质量达标率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28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各项工作完成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lastRenderedPageBreak/>
              <w:t>时间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6F161F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lastRenderedPageBreak/>
              <w:t>202</w:t>
            </w:r>
            <w:r w:rsidR="00FE7749"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年内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6F161F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202</w:t>
            </w:r>
            <w:r w:rsidR="00FE7749"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年内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28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各项工作完成及时率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172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成本发生规范合理率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教育附加项目资金、部分财政专项拨款，不在单位年初预算范围内。</w:t>
            </w:r>
          </w:p>
        </w:tc>
      </w:tr>
      <w:tr w:rsidR="005B54D8" w:rsidRPr="004B3400" w:rsidTr="00D52460">
        <w:trPr>
          <w:trHeight w:val="246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基本支出控制额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6F161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="002F09EB"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  <w:r w:rsidR="00FE7749" w:rsidRPr="004B3400">
              <w:rPr>
                <w:rFonts w:eastAsia="仿宋" w:hint="eastAsia"/>
                <w:color w:val="000000"/>
                <w:sz w:val="18"/>
                <w:szCs w:val="18"/>
              </w:rPr>
              <w:t>0</w:t>
            </w:r>
            <w:r w:rsidR="002F09EB" w:rsidRPr="004B3400">
              <w:rPr>
                <w:rFonts w:eastAsia="仿宋" w:hint="eastAsia"/>
                <w:color w:val="000000"/>
                <w:sz w:val="18"/>
                <w:szCs w:val="18"/>
              </w:rPr>
              <w:t>.89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2F09EB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hint="eastAsia"/>
                <w:sz w:val="18"/>
                <w:szCs w:val="18"/>
              </w:rPr>
              <w:t>310.6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AE06ED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189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项目支出控制额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A14413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180.68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2F09EB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hint="eastAsia"/>
                <w:sz w:val="18"/>
                <w:szCs w:val="18"/>
              </w:rPr>
              <w:t>190.97</w:t>
            </w:r>
            <w:r w:rsidR="005B54D8" w:rsidRPr="004B3400">
              <w:rPr>
                <w:rFonts w:eastAsia="仿宋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AE06ED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70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效益指标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（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30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分）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对当地农业发展的影响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促进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促进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1B338E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78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对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当地水系利用率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提升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提升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486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对红旗灌区旱涝灾害的影响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防止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防止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78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农田灌溉面积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1.5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万亩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1.5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万亩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78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受益人口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万人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28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对当地水环境安全的影响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28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对区域水源污染的影响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减少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减少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19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对红旗水库枢纽工程防汛抗旱工作的影响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jc w:val="center"/>
              <w:rPr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364B6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19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对群众饮用水安全的影响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jc w:val="center"/>
              <w:rPr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19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对红旗水库枢纽工程安全运行的影响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jc w:val="center"/>
              <w:rPr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52460">
        <w:trPr>
          <w:trHeight w:val="513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满意度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指标</w:t>
            </w:r>
          </w:p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（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10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服务对象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96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B54D8" w:rsidRPr="004B3400" w:rsidTr="00D52460">
        <w:trPr>
          <w:trHeight w:val="54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社会公众满意度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95</w:t>
            </w:r>
            <w:r w:rsidRPr="004B3400">
              <w:rPr>
                <w:rFonts w:eastAsia="仿宋"/>
                <w:color w:val="000000"/>
                <w:sz w:val="18"/>
                <w:szCs w:val="1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B54D8" w:rsidRPr="004B3400" w:rsidTr="00DE2B4D">
        <w:trPr>
          <w:trHeight w:val="417"/>
          <w:jc w:val="center"/>
        </w:trPr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6F161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  <w:r w:rsidRPr="004B3400">
              <w:rPr>
                <w:rFonts w:eastAsia="仿宋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4D8" w:rsidRPr="004B3400" w:rsidRDefault="005B54D8" w:rsidP="00DE2B4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4B3400">
              <w:rPr>
                <w:rFonts w:eastAsia="仿宋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5B54D8" w:rsidRPr="004B3400" w:rsidRDefault="005B54D8" w:rsidP="005B54D8">
      <w:pPr>
        <w:rPr>
          <w:rFonts w:ascii="仿宋" w:eastAsia="仿宋" w:hAnsi="仿宋" w:cs="仿宋"/>
          <w:sz w:val="18"/>
          <w:szCs w:val="18"/>
        </w:rPr>
      </w:pPr>
      <w:bookmarkStart w:id="0" w:name="_GoBack"/>
      <w:bookmarkEnd w:id="0"/>
    </w:p>
    <w:sectPr w:rsidR="005B54D8" w:rsidRPr="004B3400" w:rsidSect="00CA1282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A9" w:rsidRDefault="00F91FA9" w:rsidP="00E85BB6">
      <w:r>
        <w:separator/>
      </w:r>
    </w:p>
  </w:endnote>
  <w:endnote w:type="continuationSeparator" w:id="0">
    <w:p w:rsidR="00F91FA9" w:rsidRDefault="00F91FA9" w:rsidP="00E8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variable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A9" w:rsidRDefault="00F91FA9" w:rsidP="00E85BB6">
      <w:r>
        <w:separator/>
      </w:r>
    </w:p>
  </w:footnote>
  <w:footnote w:type="continuationSeparator" w:id="0">
    <w:p w:rsidR="00F91FA9" w:rsidRDefault="00F91FA9" w:rsidP="00E8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53276"/>
    <w:multiLevelType w:val="hybridMultilevel"/>
    <w:tmpl w:val="FB5EED60"/>
    <w:lvl w:ilvl="0" w:tplc="F53808F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4D8"/>
    <w:rsid w:val="0001577F"/>
    <w:rsid w:val="00081794"/>
    <w:rsid w:val="000D04FB"/>
    <w:rsid w:val="001B338E"/>
    <w:rsid w:val="002F09EB"/>
    <w:rsid w:val="002F1D2F"/>
    <w:rsid w:val="00364B68"/>
    <w:rsid w:val="004B3400"/>
    <w:rsid w:val="005004FD"/>
    <w:rsid w:val="005B54D8"/>
    <w:rsid w:val="00656670"/>
    <w:rsid w:val="0069189C"/>
    <w:rsid w:val="006C1B3E"/>
    <w:rsid w:val="006F161F"/>
    <w:rsid w:val="007A6FE4"/>
    <w:rsid w:val="00816CF6"/>
    <w:rsid w:val="00A14413"/>
    <w:rsid w:val="00A944A0"/>
    <w:rsid w:val="00AB085D"/>
    <w:rsid w:val="00AE06ED"/>
    <w:rsid w:val="00B60684"/>
    <w:rsid w:val="00B96536"/>
    <w:rsid w:val="00BF374D"/>
    <w:rsid w:val="00BF589B"/>
    <w:rsid w:val="00C832B5"/>
    <w:rsid w:val="00C92565"/>
    <w:rsid w:val="00CC059C"/>
    <w:rsid w:val="00CC6198"/>
    <w:rsid w:val="00CD3D2F"/>
    <w:rsid w:val="00D52460"/>
    <w:rsid w:val="00E6659E"/>
    <w:rsid w:val="00E85BB6"/>
    <w:rsid w:val="00F91FA9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D8"/>
    <w:pPr>
      <w:widowControl w:val="0"/>
      <w:jc w:val="both"/>
    </w:pPr>
    <w:rPr>
      <w:rFonts w:ascii="Times New Roman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54D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E8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85BB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8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85BB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cp:lastPrinted>2024-06-24T01:12:00Z</cp:lastPrinted>
  <dcterms:created xsi:type="dcterms:W3CDTF">2023-07-10T02:14:00Z</dcterms:created>
  <dcterms:modified xsi:type="dcterms:W3CDTF">2024-10-08T08:08:00Z</dcterms:modified>
</cp:coreProperties>
</file>